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EBA" w:rsidRPr="005B6EBA" w:rsidRDefault="005B6EBA" w:rsidP="003170B8">
      <w:pPr>
        <w:pStyle w:val="Textoindependiente"/>
        <w:widowControl/>
        <w:tabs>
          <w:tab w:val="left" w:pos="6096"/>
          <w:tab w:val="left" w:pos="6521"/>
        </w:tabs>
        <w:suppressAutoHyphens w:val="0"/>
        <w:ind w:left="3686" w:right="2126" w:hanging="1134"/>
        <w:rPr>
          <w:rFonts w:cs="Tahoma"/>
          <w:i/>
          <w:sz w:val="20"/>
        </w:rPr>
      </w:pPr>
      <w:r w:rsidRPr="005B6EBA">
        <w:rPr>
          <w:rFonts w:cs="Tahoma"/>
          <w:b/>
          <w:i/>
          <w:sz w:val="20"/>
        </w:rPr>
        <w:t>Sumilla</w:t>
      </w:r>
      <w:r w:rsidRPr="005B6EBA">
        <w:rPr>
          <w:rFonts w:cs="Tahoma"/>
          <w:i/>
          <w:sz w:val="20"/>
        </w:rPr>
        <w:t xml:space="preserve">: </w:t>
      </w:r>
      <w:r w:rsidRPr="005B6EBA">
        <w:rPr>
          <w:rFonts w:cs="Tahoma"/>
          <w:i/>
          <w:sz w:val="20"/>
        </w:rPr>
        <w:tab/>
      </w:r>
      <w:r w:rsidR="003170B8" w:rsidRPr="003170B8">
        <w:rPr>
          <w:rFonts w:cs="Tahoma"/>
          <w:bCs/>
          <w:i/>
          <w:iCs/>
          <w:sz w:val="20"/>
        </w:rPr>
        <w:t>Las contrataciones y adquisiciones derivadas de convenio internacionales deben sujetarse a lo establecido en los respectivos convenios</w:t>
      </w:r>
      <w:r w:rsidR="003170B8" w:rsidRPr="003170B8">
        <w:rPr>
          <w:rFonts w:cs="Tahoma"/>
          <w:i/>
          <w:iCs/>
          <w:sz w:val="20"/>
        </w:rPr>
        <w:t xml:space="preserve">, </w:t>
      </w:r>
      <w:r w:rsidR="003170B8" w:rsidRPr="003170B8">
        <w:rPr>
          <w:rFonts w:cs="Tahoma"/>
          <w:bCs/>
          <w:i/>
          <w:iCs/>
          <w:sz w:val="20"/>
        </w:rPr>
        <w:t xml:space="preserve">por tanto, no cabría aplicar el porcentaje mínimo establecido en la Tercera Disposición </w:t>
      </w:r>
      <w:r w:rsidR="003170B8">
        <w:rPr>
          <w:rFonts w:cs="Tahoma"/>
          <w:bCs/>
          <w:i/>
          <w:iCs/>
          <w:sz w:val="20"/>
        </w:rPr>
        <w:t>c</w:t>
      </w:r>
      <w:r w:rsidR="003170B8" w:rsidRPr="003170B8">
        <w:rPr>
          <w:rFonts w:cs="Tahoma"/>
          <w:bCs/>
          <w:i/>
          <w:iCs/>
          <w:sz w:val="20"/>
        </w:rPr>
        <w:t>omplementaria de la Ley</w:t>
      </w:r>
      <w:r w:rsidRPr="005B6EBA">
        <w:rPr>
          <w:rFonts w:cs="Tahoma"/>
          <w:i/>
          <w:sz w:val="20"/>
        </w:rPr>
        <w:t xml:space="preserve">.  </w:t>
      </w:r>
    </w:p>
    <w:p w:rsidR="005B6EBA" w:rsidRPr="005B6EBA" w:rsidRDefault="005B6EBA" w:rsidP="005B6EBA">
      <w:pPr>
        <w:pStyle w:val="Textoindependiente"/>
        <w:widowControl/>
        <w:tabs>
          <w:tab w:val="left" w:pos="6804"/>
        </w:tabs>
        <w:suppressAutoHyphens w:val="0"/>
        <w:ind w:left="3544" w:right="1843" w:hanging="992"/>
        <w:rPr>
          <w:rFonts w:cs="Tahoma"/>
          <w:sz w:val="20"/>
        </w:rPr>
      </w:pPr>
      <w:r w:rsidRPr="005B6EBA">
        <w:rPr>
          <w:rFonts w:cs="Tahoma"/>
          <w:sz w:val="20"/>
        </w:rPr>
        <w:t xml:space="preserve"> </w:t>
      </w:r>
    </w:p>
    <w:p w:rsidR="005B6EBA" w:rsidRPr="005B6EBA" w:rsidRDefault="000A57B4" w:rsidP="005B6EBA">
      <w:pPr>
        <w:pStyle w:val="Textoindependiente3"/>
        <w:spacing w:after="0"/>
        <w:ind w:left="4956" w:firstLine="84"/>
        <w:jc w:val="both"/>
        <w:rPr>
          <w:rFonts w:ascii="Tahoma" w:hAnsi="Tahoma" w:cs="Tahoma"/>
          <w:b/>
          <w:sz w:val="20"/>
          <w:szCs w:val="20"/>
        </w:rPr>
      </w:pPr>
      <w:r>
        <w:rPr>
          <w:rFonts w:ascii="Tahoma" w:hAnsi="Tahoma" w:cs="Tahoma"/>
          <w:b/>
          <w:sz w:val="20"/>
          <w:szCs w:val="20"/>
        </w:rPr>
        <w:t xml:space="preserve">      </w:t>
      </w:r>
      <w:r w:rsidR="005B6EBA" w:rsidRPr="005B6EBA">
        <w:rPr>
          <w:rFonts w:ascii="Tahoma" w:hAnsi="Tahoma" w:cs="Tahoma"/>
          <w:b/>
          <w:sz w:val="20"/>
          <w:szCs w:val="20"/>
        </w:rPr>
        <w:t xml:space="preserve">Lima,  </w:t>
      </w:r>
      <w:r>
        <w:rPr>
          <w:rFonts w:ascii="Tahoma" w:hAnsi="Tahoma" w:cs="Tahoma"/>
          <w:b/>
          <w:sz w:val="20"/>
          <w:szCs w:val="20"/>
        </w:rPr>
        <w:t>10 de Febrero de 2011</w:t>
      </w:r>
    </w:p>
    <w:p w:rsidR="005B6EBA" w:rsidRPr="005B6EBA" w:rsidRDefault="005B6EBA" w:rsidP="005B6EBA">
      <w:pPr>
        <w:pStyle w:val="Textoindependiente"/>
        <w:tabs>
          <w:tab w:val="left" w:pos="540"/>
        </w:tabs>
        <w:rPr>
          <w:rFonts w:cs="Tahoma"/>
          <w:b/>
          <w:sz w:val="20"/>
          <w:lang w:val="es-PE"/>
        </w:rPr>
      </w:pPr>
    </w:p>
    <w:p w:rsidR="005B6EBA" w:rsidRPr="005B6EBA" w:rsidRDefault="005B6EBA" w:rsidP="005B6EBA">
      <w:pPr>
        <w:jc w:val="both"/>
        <w:rPr>
          <w:rFonts w:ascii="Tahoma" w:hAnsi="Tahoma" w:cs="Tahoma"/>
        </w:rPr>
      </w:pPr>
      <w:r w:rsidRPr="005B6EBA">
        <w:rPr>
          <w:rFonts w:ascii="Tahoma" w:hAnsi="Tahoma" w:cs="Tahoma"/>
          <w:b/>
        </w:rPr>
        <w:t>Visto</w:t>
      </w:r>
      <w:r w:rsidRPr="005B6EBA">
        <w:rPr>
          <w:rFonts w:ascii="Tahoma" w:hAnsi="Tahoma" w:cs="Tahoma"/>
        </w:rPr>
        <w:t xml:space="preserve"> en sesión de fecha </w:t>
      </w:r>
      <w:r>
        <w:rPr>
          <w:rFonts w:ascii="Tahoma" w:hAnsi="Tahoma" w:cs="Tahoma"/>
        </w:rPr>
        <w:t>09</w:t>
      </w:r>
      <w:r w:rsidRPr="005B6EBA">
        <w:rPr>
          <w:rFonts w:ascii="Tahoma" w:hAnsi="Tahoma" w:cs="Tahoma"/>
        </w:rPr>
        <w:t xml:space="preserve"> de </w:t>
      </w:r>
      <w:r>
        <w:rPr>
          <w:rFonts w:ascii="Tahoma" w:hAnsi="Tahoma" w:cs="Tahoma"/>
        </w:rPr>
        <w:t xml:space="preserve">febrero </w:t>
      </w:r>
      <w:r w:rsidRPr="005B6EBA">
        <w:rPr>
          <w:rFonts w:ascii="Tahoma" w:hAnsi="Tahoma" w:cs="Tahoma"/>
        </w:rPr>
        <w:t xml:space="preserve">de 2011 de la Primera Sala del Tribunal de Contrataciones del Estado el Expediente N° </w:t>
      </w:r>
      <w:r>
        <w:rPr>
          <w:rFonts w:ascii="Tahoma" w:hAnsi="Tahoma" w:cs="Tahoma"/>
        </w:rPr>
        <w:t>1745</w:t>
      </w:r>
      <w:r w:rsidRPr="005B6EBA">
        <w:rPr>
          <w:rFonts w:ascii="Tahoma" w:hAnsi="Tahoma" w:cs="Tahoma"/>
        </w:rPr>
        <w:t xml:space="preserve">.2010.TC, sobre el procedimiento de aplicación de sanción a la empresa A&amp;R CONSTRUCTORA Y SERVICIOS ARCOS S.R.L., por supuesta responsabilidad en presentar documentos falsos o inexactos, durante el desarrollo </w:t>
      </w:r>
      <w:r>
        <w:rPr>
          <w:rFonts w:ascii="Tahoma" w:hAnsi="Tahoma" w:cs="Tahoma"/>
        </w:rPr>
        <w:t xml:space="preserve">del proceso </w:t>
      </w:r>
      <w:r w:rsidRPr="005B6EBA">
        <w:rPr>
          <w:rFonts w:ascii="Tahoma" w:hAnsi="Tahoma" w:cs="Tahoma"/>
        </w:rPr>
        <w:t xml:space="preserve">Comparación de Precios por Invitación Nº 002-2008-G.PASCO/OBRAS, </w:t>
      </w:r>
      <w:r>
        <w:rPr>
          <w:rFonts w:ascii="Tahoma" w:hAnsi="Tahoma" w:cs="Tahoma"/>
        </w:rPr>
        <w:t xml:space="preserve">efectuado por </w:t>
      </w:r>
      <w:r w:rsidRPr="005B6EBA">
        <w:rPr>
          <w:rFonts w:ascii="Tahoma" w:hAnsi="Tahoma" w:cs="Tahoma"/>
        </w:rPr>
        <w:t>el Gobierno Regional de Pasco</w:t>
      </w:r>
      <w:r>
        <w:rPr>
          <w:rFonts w:ascii="Tahoma" w:hAnsi="Tahoma" w:cs="Tahoma"/>
        </w:rPr>
        <w:t xml:space="preserve">, </w:t>
      </w:r>
      <w:r w:rsidRPr="005B6EBA">
        <w:rPr>
          <w:rFonts w:ascii="Tahoma" w:hAnsi="Tahoma" w:cs="Tahoma"/>
        </w:rPr>
        <w:t>para la ejecución de la obra “Mantenimiento periódico de la carretera Tornamesa – Shirahuain – Quiparacra - Mallán Km. 37+000 al Km 80+000”</w:t>
      </w:r>
      <w:r w:rsidRPr="005B6EBA">
        <w:rPr>
          <w:rFonts w:ascii="Tahoma" w:hAnsi="Tahoma" w:cs="Tahoma"/>
          <w:bCs/>
        </w:rPr>
        <w:t xml:space="preserve">; </w:t>
      </w:r>
      <w:r w:rsidRPr="005B6EBA">
        <w:rPr>
          <w:rFonts w:ascii="Tahoma" w:hAnsi="Tahoma" w:cs="Tahoma"/>
          <w:bCs/>
          <w:lang w:val="es-ES_tradnl"/>
        </w:rPr>
        <w:t>y,</w:t>
      </w:r>
      <w:r w:rsidRPr="005B6EBA">
        <w:rPr>
          <w:rFonts w:ascii="Tahoma" w:hAnsi="Tahoma" w:cs="Tahoma"/>
          <w:color w:val="000000"/>
        </w:rPr>
        <w:t xml:space="preserve"> atendiendo a los siguientes:    </w:t>
      </w:r>
    </w:p>
    <w:p w:rsidR="005B6EBA" w:rsidRPr="005B6EBA" w:rsidRDefault="005B6EBA" w:rsidP="005B6EBA">
      <w:pPr>
        <w:pStyle w:val="Textoindependiente"/>
        <w:widowControl/>
        <w:tabs>
          <w:tab w:val="left" w:pos="540"/>
        </w:tabs>
        <w:suppressAutoHyphens w:val="0"/>
        <w:rPr>
          <w:rFonts w:cs="Tahoma"/>
          <w:sz w:val="20"/>
        </w:rPr>
      </w:pPr>
    </w:p>
    <w:p w:rsidR="005B6EBA" w:rsidRPr="005B6EBA" w:rsidRDefault="005B6EBA" w:rsidP="005B6EBA">
      <w:pPr>
        <w:jc w:val="both"/>
        <w:rPr>
          <w:rFonts w:ascii="Tahoma" w:hAnsi="Tahoma" w:cs="Tahoma"/>
          <w:b/>
          <w:shadow/>
        </w:rPr>
      </w:pPr>
      <w:r w:rsidRPr="005B6EBA">
        <w:rPr>
          <w:rFonts w:ascii="Tahoma" w:hAnsi="Tahoma" w:cs="Tahoma"/>
          <w:b/>
          <w:shadow/>
        </w:rPr>
        <w:t>ANTECEDENTES:</w:t>
      </w:r>
    </w:p>
    <w:p w:rsidR="005B6EBA" w:rsidRPr="005B6EBA" w:rsidRDefault="005B6EBA" w:rsidP="005B6EBA">
      <w:pPr>
        <w:rPr>
          <w:rFonts w:ascii="Tahoma" w:hAnsi="Tahoma" w:cs="Tahoma"/>
          <w:b/>
          <w:bCs/>
        </w:rPr>
      </w:pPr>
      <w:r w:rsidRPr="005B6EBA">
        <w:rPr>
          <w:rFonts w:ascii="Tahoma" w:hAnsi="Tahoma" w:cs="Tahoma"/>
          <w:b/>
          <w:bCs/>
        </w:rPr>
        <w:tab/>
      </w:r>
    </w:p>
    <w:p w:rsidR="005B6EBA" w:rsidRPr="005B6EBA" w:rsidRDefault="005B6EBA" w:rsidP="005B6EBA">
      <w:pPr>
        <w:numPr>
          <w:ilvl w:val="0"/>
          <w:numId w:val="6"/>
        </w:numPr>
        <w:jc w:val="both"/>
        <w:rPr>
          <w:rFonts w:ascii="Tahoma" w:hAnsi="Tahoma" w:cs="Tahoma"/>
        </w:rPr>
      </w:pPr>
      <w:r w:rsidRPr="005B6EBA">
        <w:rPr>
          <w:rFonts w:ascii="Tahoma" w:hAnsi="Tahoma" w:cs="Tahoma"/>
        </w:rPr>
        <w:t>Mediante Carta de fecha 06 de noviembre de 2008, el Gobierno Regional de Pasco, en adelante la Entidad, realizó la invitación para participar en el proceso Comparación de Precios por Invitación Nº 002-2008-G.PASCO/OBRAS, para la ejecución de la obra “Mantenimiento periódico de la carretera Tornamesa – Shirahuain – Quiparacra - Mallán Km. 37+000 al Km 80+000”.</w:t>
      </w:r>
    </w:p>
    <w:p w:rsidR="005B6EBA" w:rsidRPr="005B6EBA" w:rsidRDefault="005B6EBA" w:rsidP="005B6EBA">
      <w:pPr>
        <w:ind w:left="720"/>
        <w:rPr>
          <w:rFonts w:ascii="Tahoma" w:hAnsi="Tahoma" w:cs="Tahoma"/>
        </w:rPr>
      </w:pPr>
    </w:p>
    <w:p w:rsidR="005B6EBA" w:rsidRPr="005B6EBA" w:rsidRDefault="005B6EBA" w:rsidP="005B6EBA">
      <w:pPr>
        <w:numPr>
          <w:ilvl w:val="0"/>
          <w:numId w:val="6"/>
        </w:numPr>
        <w:jc w:val="both"/>
        <w:rPr>
          <w:rFonts w:ascii="Tahoma" w:hAnsi="Tahoma" w:cs="Tahoma"/>
        </w:rPr>
      </w:pPr>
      <w:r w:rsidRPr="005B6EBA">
        <w:rPr>
          <w:rFonts w:ascii="Tahoma" w:hAnsi="Tahoma" w:cs="Tahoma"/>
        </w:rPr>
        <w:t>El 17 de diciembre de 2008, luego de la evaluación de propuestas, se comunicó a la empresa A&amp;R CONSTRUCTORA Y SERVICIOS ARCOS S.R.L., en adelante el Contratista, que se le había adjudicado la buena pro.</w:t>
      </w:r>
    </w:p>
    <w:p w:rsidR="005B6EBA" w:rsidRPr="005B6EBA" w:rsidRDefault="005B6EBA" w:rsidP="005B6EBA">
      <w:pPr>
        <w:pStyle w:val="Prrafodelista"/>
        <w:rPr>
          <w:sz w:val="20"/>
          <w:szCs w:val="20"/>
        </w:rPr>
      </w:pPr>
    </w:p>
    <w:p w:rsidR="005B6EBA" w:rsidRPr="005B6EBA" w:rsidRDefault="005B6EBA" w:rsidP="005B6EBA">
      <w:pPr>
        <w:numPr>
          <w:ilvl w:val="0"/>
          <w:numId w:val="6"/>
        </w:numPr>
        <w:jc w:val="both"/>
        <w:rPr>
          <w:rFonts w:ascii="Tahoma" w:hAnsi="Tahoma" w:cs="Tahoma"/>
        </w:rPr>
      </w:pPr>
      <w:r w:rsidRPr="005B6EBA">
        <w:rPr>
          <w:rFonts w:ascii="Tahoma" w:hAnsi="Tahoma" w:cs="Tahoma"/>
        </w:rPr>
        <w:t>El 06 de febrero de 2009, el Contratista y la Entidad suscribieron el Contrato Nº 0076-2009-GR.PASCO/PRES, mediante el cual, el primero de ellos se comprometía  realizar la obra en un plazo de 120 días calendarios, por un monto total ascendente a S/. 808, 824.10 Nuevos Soles.</w:t>
      </w:r>
    </w:p>
    <w:p w:rsidR="005B6EBA" w:rsidRPr="005B6EBA" w:rsidRDefault="005B6EBA" w:rsidP="005B6EBA">
      <w:pPr>
        <w:rPr>
          <w:rFonts w:ascii="Tahoma" w:hAnsi="Tahoma" w:cs="Tahoma"/>
        </w:rPr>
      </w:pPr>
    </w:p>
    <w:p w:rsidR="005B6EBA" w:rsidRPr="005B6EBA" w:rsidRDefault="005B6EBA" w:rsidP="005B6EBA">
      <w:pPr>
        <w:ind w:left="708"/>
        <w:rPr>
          <w:rFonts w:ascii="Tahoma" w:hAnsi="Tahoma" w:cs="Tahoma"/>
        </w:rPr>
      </w:pPr>
      <w:r w:rsidRPr="005B6EBA">
        <w:rPr>
          <w:rFonts w:ascii="Tahoma" w:hAnsi="Tahoma" w:cs="Tahoma"/>
        </w:rPr>
        <w:t xml:space="preserve">Dicho proceso de selección fue financiado por endeudamiento externo: </w:t>
      </w:r>
      <w:r w:rsidRPr="005B6EBA">
        <w:rPr>
          <w:rFonts w:ascii="Tahoma" w:hAnsi="Tahoma" w:cs="Tahoma"/>
          <w:b/>
          <w:bCs/>
        </w:rPr>
        <w:t>Contratos de Préstamos BIRF Nº 7322-PE, BID Nº 1657-PE,</w:t>
      </w:r>
      <w:r w:rsidRPr="005B6EBA">
        <w:rPr>
          <w:rFonts w:ascii="Tahoma" w:hAnsi="Tahoma" w:cs="Tahoma"/>
        </w:rPr>
        <w:t xml:space="preserve"> y recursos de la Entidad.</w:t>
      </w:r>
    </w:p>
    <w:p w:rsidR="005B6EBA" w:rsidRPr="005B6EBA" w:rsidRDefault="005B6EBA" w:rsidP="005B6EBA">
      <w:pPr>
        <w:ind w:left="708"/>
        <w:rPr>
          <w:rFonts w:ascii="Tahoma" w:hAnsi="Tahoma" w:cs="Tahoma"/>
        </w:rPr>
      </w:pPr>
    </w:p>
    <w:p w:rsidR="005B6EBA" w:rsidRPr="005B6EBA" w:rsidRDefault="005B6EBA" w:rsidP="005B6EBA">
      <w:pPr>
        <w:ind w:left="720"/>
        <w:rPr>
          <w:rFonts w:ascii="Tahoma" w:hAnsi="Tahoma" w:cs="Tahoma"/>
        </w:rPr>
      </w:pPr>
      <w:r w:rsidRPr="005B6EBA">
        <w:rPr>
          <w:rFonts w:ascii="Tahoma" w:hAnsi="Tahoma" w:cs="Tahoma"/>
        </w:rPr>
        <w:t>Para la realización de la firma del Contrato, el Contratista presento como Garantía de Fiel cumplimiento la Carta Fianza Nº 2009/00005215, por el monto de S/. 80, 882.41 Nuevos Soles, emitida por el Banco de Comercio el 26 de enero de 2009.</w:t>
      </w:r>
    </w:p>
    <w:p w:rsidR="005B6EBA" w:rsidRPr="005B6EBA" w:rsidRDefault="005B6EBA" w:rsidP="005B6EBA">
      <w:pPr>
        <w:ind w:left="720"/>
        <w:rPr>
          <w:rFonts w:ascii="Tahoma" w:hAnsi="Tahoma" w:cs="Tahoma"/>
        </w:rPr>
      </w:pPr>
    </w:p>
    <w:p w:rsidR="005B6EBA" w:rsidRPr="005B6EBA" w:rsidRDefault="005B6EBA" w:rsidP="005B6EBA">
      <w:pPr>
        <w:numPr>
          <w:ilvl w:val="0"/>
          <w:numId w:val="6"/>
        </w:numPr>
        <w:jc w:val="both"/>
        <w:rPr>
          <w:rFonts w:ascii="Tahoma" w:hAnsi="Tahoma" w:cs="Tahoma"/>
        </w:rPr>
      </w:pPr>
      <w:r w:rsidRPr="005B6EBA">
        <w:rPr>
          <w:rFonts w:ascii="Tahoma" w:hAnsi="Tahoma" w:cs="Tahoma"/>
        </w:rPr>
        <w:t xml:space="preserve">Mediante Oficio Nº 114-2009-G.R.PSASCO/OCI de fecha 29 de abril de 2009, la Entidad en aplicación del </w:t>
      </w:r>
      <w:r w:rsidRPr="005B6EBA">
        <w:rPr>
          <w:rFonts w:ascii="Tahoma" w:hAnsi="Tahoma" w:cs="Tahoma"/>
          <w:i/>
          <w:iCs/>
        </w:rPr>
        <w:t>“ Principio de Privilegio de Controles Posteriores</w:t>
      </w:r>
      <w:r w:rsidRPr="005B6EBA">
        <w:rPr>
          <w:rFonts w:ascii="Tahoma" w:hAnsi="Tahoma" w:cs="Tahoma"/>
        </w:rPr>
        <w:t>” solicitó al Banco de Comercio que indique sobre la veracidad de la Carta fianza Nº 2009/00005215.</w:t>
      </w:r>
    </w:p>
    <w:p w:rsidR="005B6EBA" w:rsidRPr="005B6EBA" w:rsidRDefault="005B6EBA" w:rsidP="005B6EBA">
      <w:pPr>
        <w:ind w:left="720"/>
        <w:rPr>
          <w:rFonts w:ascii="Tahoma" w:hAnsi="Tahoma" w:cs="Tahoma"/>
        </w:rPr>
      </w:pPr>
    </w:p>
    <w:p w:rsidR="005B6EBA" w:rsidRPr="005B6EBA" w:rsidRDefault="005B6EBA" w:rsidP="005B6EBA">
      <w:pPr>
        <w:numPr>
          <w:ilvl w:val="0"/>
          <w:numId w:val="6"/>
        </w:numPr>
        <w:jc w:val="both"/>
        <w:rPr>
          <w:rFonts w:ascii="Tahoma" w:hAnsi="Tahoma" w:cs="Tahoma"/>
        </w:rPr>
      </w:pPr>
      <w:r w:rsidRPr="005B6EBA">
        <w:rPr>
          <w:rFonts w:ascii="Tahoma" w:hAnsi="Tahoma" w:cs="Tahoma"/>
        </w:rPr>
        <w:lastRenderedPageBreak/>
        <w:t>En respuesta, con Carta Nº CF-144-05-2009 de fecha 06 de mayo de 2009, la entidad bancaria informó a la Entidad que “la carta fianza Nº 2009/00005215 no había sido emitida por su institución, por lo que se trata de un documento falso”.(sic).</w:t>
      </w:r>
    </w:p>
    <w:p w:rsidR="005B6EBA" w:rsidRPr="005B6EBA" w:rsidRDefault="005B6EBA" w:rsidP="005B6EBA">
      <w:pPr>
        <w:pStyle w:val="Prrafodelista"/>
        <w:rPr>
          <w:sz w:val="20"/>
          <w:szCs w:val="20"/>
        </w:rPr>
      </w:pPr>
    </w:p>
    <w:p w:rsidR="005B6EBA" w:rsidRPr="005B6EBA" w:rsidRDefault="005B6EBA" w:rsidP="005B6EBA">
      <w:pPr>
        <w:numPr>
          <w:ilvl w:val="0"/>
          <w:numId w:val="6"/>
        </w:numPr>
        <w:jc w:val="both"/>
        <w:rPr>
          <w:rFonts w:ascii="Tahoma" w:hAnsi="Tahoma" w:cs="Tahoma"/>
        </w:rPr>
      </w:pPr>
      <w:r w:rsidRPr="005B6EBA">
        <w:rPr>
          <w:rFonts w:ascii="Tahoma" w:hAnsi="Tahoma" w:cs="Tahoma"/>
        </w:rPr>
        <w:t>Mediante Informe Legal Nº 260-2009-G.R.PASCO/ORAJ, de fecha 20 de mayo de 2009, la oficina de Asesoría Jurídica de la Entidad recomendó declarar la nulidad del contrato.</w:t>
      </w:r>
    </w:p>
    <w:p w:rsidR="005B6EBA" w:rsidRPr="005B6EBA" w:rsidRDefault="005B6EBA" w:rsidP="005B6EBA">
      <w:pPr>
        <w:pStyle w:val="Prrafodelista"/>
        <w:rPr>
          <w:sz w:val="20"/>
          <w:szCs w:val="20"/>
        </w:rPr>
      </w:pPr>
    </w:p>
    <w:p w:rsidR="005B6EBA" w:rsidRPr="005B6EBA" w:rsidRDefault="005B6EBA" w:rsidP="005B6EBA">
      <w:pPr>
        <w:numPr>
          <w:ilvl w:val="0"/>
          <w:numId w:val="6"/>
        </w:numPr>
        <w:jc w:val="both"/>
        <w:rPr>
          <w:rFonts w:ascii="Tahoma" w:hAnsi="Tahoma" w:cs="Tahoma"/>
        </w:rPr>
      </w:pPr>
      <w:r w:rsidRPr="005B6EBA">
        <w:rPr>
          <w:rFonts w:ascii="Tahoma" w:hAnsi="Tahoma" w:cs="Tahoma"/>
        </w:rPr>
        <w:t>Mediante Informe Legal Nº 317-2009-G.R.PASCO/ORAJ., la oficina de Asesoría Jurídica de la Entidad,recomendó derivar toda la documentación correspondiente al Procurador Publico a fin de que interponga las acciones legales pertinentes.</w:t>
      </w:r>
    </w:p>
    <w:p w:rsidR="005B6EBA" w:rsidRPr="005B6EBA" w:rsidRDefault="005B6EBA" w:rsidP="005B6EBA">
      <w:pPr>
        <w:pStyle w:val="Prrafodelista"/>
        <w:rPr>
          <w:sz w:val="20"/>
          <w:szCs w:val="20"/>
        </w:rPr>
      </w:pPr>
    </w:p>
    <w:p w:rsidR="005B6EBA" w:rsidRPr="005B6EBA" w:rsidRDefault="005B6EBA" w:rsidP="005B6EBA">
      <w:pPr>
        <w:numPr>
          <w:ilvl w:val="0"/>
          <w:numId w:val="6"/>
        </w:numPr>
        <w:jc w:val="both"/>
        <w:rPr>
          <w:rFonts w:ascii="Tahoma" w:hAnsi="Tahoma" w:cs="Tahoma"/>
        </w:rPr>
      </w:pPr>
      <w:r w:rsidRPr="005B6EBA">
        <w:rPr>
          <w:rFonts w:ascii="Tahoma" w:hAnsi="Tahoma" w:cs="Tahoma"/>
        </w:rPr>
        <w:t>Con Oficio Nº 0372-2010-G.R.PASCO-PRES/GGR de fecha 06 de diciembre de 2010, la Entidad comunicó a este Tribunal los hechos antes expuestos.</w:t>
      </w:r>
    </w:p>
    <w:p w:rsidR="005B6EBA" w:rsidRPr="005B6EBA" w:rsidRDefault="005B6EBA" w:rsidP="005B6EBA">
      <w:pPr>
        <w:pStyle w:val="Prrafodelista"/>
        <w:rPr>
          <w:sz w:val="20"/>
          <w:szCs w:val="20"/>
        </w:rPr>
      </w:pPr>
    </w:p>
    <w:p w:rsidR="005B6EBA" w:rsidRPr="005B6EBA" w:rsidRDefault="005B6EBA" w:rsidP="005B6EBA">
      <w:pPr>
        <w:numPr>
          <w:ilvl w:val="0"/>
          <w:numId w:val="6"/>
        </w:numPr>
        <w:jc w:val="both"/>
        <w:rPr>
          <w:rFonts w:ascii="Tahoma" w:hAnsi="Tahoma" w:cs="Tahoma"/>
        </w:rPr>
      </w:pPr>
      <w:r w:rsidRPr="005B6EBA">
        <w:rPr>
          <w:rFonts w:ascii="Tahoma" w:hAnsi="Tahoma" w:cs="Tahoma"/>
        </w:rPr>
        <w:t>Con decreto de fecha 10 de diciembre de 2010, se dispuso el iniciar el procedimiento administrativo sancionador contra la empresa A &amp; R CONSTRUCTORA Y SERVICIOS ARCOS S.R.L., por supuesta responsabilidad en presentar la Carta Fianza Nº 2009/00005215, documento supuestamente  falso, durante el desarrollo del proceso de selección Comparación de Precios por Invitación Nº 002-2008-G.PASCO/OBRAS. En virtud a ello, se le otorgó al contratista el plazo de diez (10) días para que presente sus descargos.</w:t>
      </w:r>
    </w:p>
    <w:p w:rsidR="005B6EBA" w:rsidRPr="005B6EBA" w:rsidRDefault="005B6EBA" w:rsidP="005B6EBA">
      <w:pPr>
        <w:pStyle w:val="Prrafodelista"/>
        <w:rPr>
          <w:sz w:val="20"/>
          <w:szCs w:val="20"/>
        </w:rPr>
      </w:pPr>
    </w:p>
    <w:p w:rsidR="005B6EBA" w:rsidRPr="005B6EBA" w:rsidRDefault="005B6EBA" w:rsidP="005B6EBA">
      <w:pPr>
        <w:numPr>
          <w:ilvl w:val="0"/>
          <w:numId w:val="6"/>
        </w:numPr>
        <w:jc w:val="both"/>
        <w:rPr>
          <w:rFonts w:ascii="Tahoma" w:hAnsi="Tahoma" w:cs="Tahoma"/>
        </w:rPr>
      </w:pPr>
      <w:r w:rsidRPr="005B6EBA">
        <w:rPr>
          <w:rFonts w:ascii="Tahoma" w:hAnsi="Tahoma" w:cs="Tahoma"/>
        </w:rPr>
        <w:t>Con Oficio Nº 0389-2010-G.R. PASCO –PRES/GGR de fecha 20 de diciembre de 2010, la Entidad remitió mayor documentación referida a su denuncia presentada.</w:t>
      </w:r>
    </w:p>
    <w:p w:rsidR="005B6EBA" w:rsidRPr="005B6EBA" w:rsidRDefault="005B6EBA" w:rsidP="005B6EBA">
      <w:pPr>
        <w:pStyle w:val="Prrafodelista"/>
        <w:rPr>
          <w:sz w:val="20"/>
          <w:szCs w:val="20"/>
        </w:rPr>
      </w:pPr>
    </w:p>
    <w:p w:rsidR="005B6EBA" w:rsidRPr="005B6EBA" w:rsidRDefault="005B6EBA" w:rsidP="005B6EBA">
      <w:pPr>
        <w:numPr>
          <w:ilvl w:val="0"/>
          <w:numId w:val="6"/>
        </w:numPr>
        <w:jc w:val="both"/>
        <w:rPr>
          <w:rFonts w:ascii="Tahoma" w:hAnsi="Tahoma" w:cs="Tahoma"/>
        </w:rPr>
      </w:pPr>
      <w:r w:rsidRPr="005B6EBA">
        <w:rPr>
          <w:rFonts w:ascii="Tahoma" w:hAnsi="Tahoma" w:cs="Tahoma"/>
        </w:rPr>
        <w:t>Mediante decreto de fecha 02 de febrero de 2011, no habiendo cumplido el Contratista con presentar sus descargos respectivos, se hizo efectivo el apercibimiento decretado de resolver con la documentación obrante en autos y se dispuso remitir el expediente a la Primera Sala del Tribunal para que resuelva.</w:t>
      </w:r>
    </w:p>
    <w:p w:rsidR="005B6EBA" w:rsidRPr="005B6EBA" w:rsidRDefault="005B6EBA" w:rsidP="005B6EBA">
      <w:pPr>
        <w:ind w:left="720"/>
        <w:rPr>
          <w:rFonts w:ascii="Tahoma" w:hAnsi="Tahoma" w:cs="Tahoma"/>
        </w:rPr>
      </w:pPr>
    </w:p>
    <w:p w:rsidR="005B6EBA" w:rsidRPr="005B6EBA" w:rsidRDefault="005B6EBA" w:rsidP="005B6EBA">
      <w:pPr>
        <w:jc w:val="both"/>
        <w:rPr>
          <w:rFonts w:ascii="Tahoma" w:hAnsi="Tahoma" w:cs="Tahoma"/>
          <w:b/>
          <w:shadow/>
        </w:rPr>
      </w:pPr>
      <w:r w:rsidRPr="005B6EBA">
        <w:rPr>
          <w:rFonts w:ascii="Tahoma" w:hAnsi="Tahoma" w:cs="Tahoma"/>
          <w:b/>
          <w:shadow/>
        </w:rPr>
        <w:t>FUNDAMENTACIÓN:</w:t>
      </w:r>
    </w:p>
    <w:p w:rsidR="005B6EBA" w:rsidRPr="005B6EBA" w:rsidRDefault="005B6EBA" w:rsidP="005B6EBA">
      <w:pPr>
        <w:rPr>
          <w:rFonts w:ascii="Tahoma" w:hAnsi="Tahoma" w:cs="Tahoma"/>
          <w:b/>
          <w:bCs/>
        </w:rPr>
      </w:pPr>
    </w:p>
    <w:p w:rsidR="005B6EBA" w:rsidRPr="005B6EBA" w:rsidRDefault="005B6EBA" w:rsidP="005B6EBA">
      <w:pPr>
        <w:numPr>
          <w:ilvl w:val="0"/>
          <w:numId w:val="7"/>
        </w:numPr>
        <w:jc w:val="both"/>
        <w:rPr>
          <w:rFonts w:ascii="Tahoma" w:hAnsi="Tahoma" w:cs="Tahoma"/>
        </w:rPr>
      </w:pPr>
      <w:r w:rsidRPr="005B6EBA">
        <w:rPr>
          <w:rFonts w:ascii="Tahoma" w:hAnsi="Tahoma" w:cs="Tahoma"/>
        </w:rPr>
        <w:t>El presente procedimiento ha sido iniciado para determinar si el Contratista ha incurrido en responsabilidad administrativa por presentar documentos  falsos  durante el desarrollo del proceso de selección Comparación de Precios por Invitación Nº 002-2008-G.PASCO/OBRAS, para la ejecución de la obra “Mantenimiento periódico de la carretera tornamesa – shirahuain – quiparacra - Mallán Km. 37+000 al Km 80+000”,</w:t>
      </w:r>
      <w:r w:rsidRPr="005B6EBA">
        <w:rPr>
          <w:rFonts w:ascii="Tahoma" w:hAnsi="Tahoma" w:cs="Tahoma"/>
          <w:lang w:val="es-MX" w:eastAsia="ja-JP"/>
        </w:rPr>
        <w:t xml:space="preserve"> </w:t>
      </w:r>
      <w:r w:rsidRPr="005B6EBA">
        <w:rPr>
          <w:rFonts w:ascii="Tahoma" w:hAnsi="Tahoma" w:cs="Tahoma"/>
          <w:lang w:val="es-MX"/>
        </w:rPr>
        <w:t xml:space="preserve">infracción tipificada en el numeral 9) del artículo 294 del Reglamento de la Ley de Contrataciones y Adquisiciones del Estado, aprobado por Decreto supremo Nº 084-2004-PCM, en adelante el Reglamento, norma vigente durante la ocurrencia </w:t>
      </w:r>
      <w:r w:rsidRPr="005B6EBA">
        <w:rPr>
          <w:rFonts w:ascii="Tahoma" w:hAnsi="Tahoma" w:cs="Tahoma"/>
        </w:rPr>
        <w:t>de los hechos imputados.</w:t>
      </w:r>
    </w:p>
    <w:p w:rsidR="005B6EBA" w:rsidRPr="005B6EBA" w:rsidRDefault="005B6EBA" w:rsidP="005B6EBA">
      <w:pPr>
        <w:ind w:left="720"/>
        <w:rPr>
          <w:rFonts w:ascii="Tahoma" w:hAnsi="Tahoma" w:cs="Tahoma"/>
        </w:rPr>
      </w:pPr>
    </w:p>
    <w:p w:rsidR="005B6EBA" w:rsidRPr="005B6EBA" w:rsidRDefault="005B6EBA" w:rsidP="005B6EBA">
      <w:pPr>
        <w:numPr>
          <w:ilvl w:val="0"/>
          <w:numId w:val="7"/>
        </w:numPr>
        <w:jc w:val="both"/>
        <w:rPr>
          <w:rFonts w:ascii="Tahoma" w:hAnsi="Tahoma" w:cs="Tahoma"/>
        </w:rPr>
      </w:pPr>
      <w:r w:rsidRPr="005B6EBA">
        <w:rPr>
          <w:rFonts w:ascii="Tahoma" w:hAnsi="Tahoma" w:cs="Tahoma"/>
        </w:rPr>
        <w:t xml:space="preserve">Fluye de los antecedentes reseñados que el proceso de selección materia de análisis fue financiado con recursos de contrapartida nacional, así como también con fondos provenientes del Banco Interamericano de Desarrollo (BID) y del Banco Internacional de Reconstrucción y Fomento (BIRF), como resultado de la suscripción de los </w:t>
      </w:r>
      <w:r w:rsidRPr="005B6EBA">
        <w:rPr>
          <w:rFonts w:ascii="Tahoma" w:hAnsi="Tahoma" w:cs="Tahoma"/>
          <w:lang w:eastAsia="es-PE"/>
        </w:rPr>
        <w:t xml:space="preserve">Contratos de Préstamo BID Nº 1657/OC-PE y BIRF Nº 7322-PE, respectivamente. </w:t>
      </w:r>
    </w:p>
    <w:p w:rsidR="005B6EBA" w:rsidRPr="005B6EBA" w:rsidRDefault="005B6EBA" w:rsidP="005B6EBA">
      <w:pPr>
        <w:ind w:left="720"/>
        <w:rPr>
          <w:rFonts w:ascii="Tahoma" w:hAnsi="Tahoma" w:cs="Tahoma"/>
        </w:rPr>
      </w:pPr>
    </w:p>
    <w:p w:rsidR="005B6EBA" w:rsidRPr="005B6EBA" w:rsidRDefault="005B6EBA" w:rsidP="005B6EBA">
      <w:pPr>
        <w:numPr>
          <w:ilvl w:val="0"/>
          <w:numId w:val="7"/>
        </w:numPr>
        <w:jc w:val="both"/>
        <w:rPr>
          <w:rFonts w:ascii="Tahoma" w:hAnsi="Tahoma" w:cs="Tahoma"/>
        </w:rPr>
      </w:pPr>
      <w:r w:rsidRPr="005B6EBA">
        <w:rPr>
          <w:rFonts w:ascii="Tahoma" w:hAnsi="Tahoma" w:cs="Tahoma"/>
        </w:rPr>
        <w:t xml:space="preserve">Sobre el particular, la Tercera Disposición Complementaria de la Ley establece que las adquisiciones y contrataciones realizadas dentro del marco de convenios internacionales se sujetarán a las disposiciones establecidas en dichos compromisos </w:t>
      </w:r>
      <w:r w:rsidRPr="005B6EBA">
        <w:rPr>
          <w:rFonts w:ascii="Tahoma" w:hAnsi="Tahoma" w:cs="Tahoma"/>
        </w:rPr>
        <w:lastRenderedPageBreak/>
        <w:t xml:space="preserve">cuando sean normas uniformes aplicadas a nivel internacional, cumplan con los principios que contempla la presente Ley </w:t>
      </w:r>
      <w:r w:rsidRPr="005B6EBA">
        <w:rPr>
          <w:rFonts w:ascii="Tahoma" w:hAnsi="Tahoma" w:cs="Tahoma"/>
          <w:b/>
          <w:bCs/>
        </w:rPr>
        <w:t>y siempre que los procesos y sus contratos sean financiados por la entidad cooperante en un porcentaje no menor al sesenta por ciento (60%) con recursos provenientes de la entidad con la que el Estado Peruano ha celebrado el convenio internacional.</w:t>
      </w:r>
      <w:r w:rsidRPr="005B6EBA">
        <w:rPr>
          <w:rFonts w:ascii="Tahoma" w:hAnsi="Tahoma" w:cs="Tahoma"/>
        </w:rPr>
        <w:t xml:space="preserve"> (Resaltado nuestro).</w:t>
      </w:r>
    </w:p>
    <w:p w:rsidR="005B6EBA" w:rsidRPr="005B6EBA" w:rsidRDefault="005B6EBA" w:rsidP="005B6EBA">
      <w:pPr>
        <w:ind w:left="720"/>
        <w:rPr>
          <w:rFonts w:ascii="Tahoma" w:hAnsi="Tahoma" w:cs="Tahoma"/>
        </w:rPr>
      </w:pPr>
    </w:p>
    <w:p w:rsidR="005B6EBA" w:rsidRPr="005B6EBA" w:rsidRDefault="005B6EBA" w:rsidP="005B6EBA">
      <w:pPr>
        <w:numPr>
          <w:ilvl w:val="0"/>
          <w:numId w:val="7"/>
        </w:numPr>
        <w:jc w:val="both"/>
        <w:rPr>
          <w:rFonts w:ascii="Tahoma" w:hAnsi="Tahoma" w:cs="Tahoma"/>
        </w:rPr>
      </w:pPr>
      <w:r w:rsidRPr="005B6EBA">
        <w:rPr>
          <w:rFonts w:ascii="Tahoma" w:hAnsi="Tahoma" w:cs="Tahoma"/>
        </w:rPr>
        <w:t>Al respecto, mediante Resolución N° 381-CONSUCODE/PRE, se aprobó la Directiva N° 014-2005-CONSUCODE/PRE</w:t>
      </w:r>
      <w:r w:rsidRPr="005B6EBA">
        <w:rPr>
          <w:rStyle w:val="Refdenotaalpie"/>
          <w:rFonts w:ascii="Tahoma" w:hAnsi="Tahoma" w:cs="Tahoma"/>
        </w:rPr>
        <w:footnoteReference w:id="2"/>
      </w:r>
      <w:r w:rsidRPr="005B6EBA">
        <w:rPr>
          <w:rFonts w:ascii="Tahoma" w:hAnsi="Tahoma" w:cs="Tahoma"/>
        </w:rPr>
        <w:t xml:space="preserve"> por la cual se </w:t>
      </w:r>
      <w:r w:rsidRPr="005B6EBA">
        <w:rPr>
          <w:rFonts w:ascii="Tahoma" w:hAnsi="Tahoma" w:cs="Tahoma"/>
          <w:lang w:val="es-PE"/>
        </w:rPr>
        <w:t>fijaron los criterios de interpretación para la correcta aplicación de lo dispuesto en la Tercera Disposición Complementaria de la Ley</w:t>
      </w:r>
      <w:r w:rsidRPr="005B6EBA">
        <w:rPr>
          <w:rFonts w:ascii="Tahoma" w:hAnsi="Tahoma" w:cs="Tahoma"/>
        </w:rPr>
        <w:t xml:space="preserve">. </w:t>
      </w:r>
    </w:p>
    <w:p w:rsidR="005B6EBA" w:rsidRPr="005B6EBA" w:rsidRDefault="005B6EBA" w:rsidP="005B6EBA">
      <w:pPr>
        <w:ind w:left="720"/>
        <w:rPr>
          <w:rFonts w:ascii="Tahoma" w:hAnsi="Tahoma" w:cs="Tahoma"/>
        </w:rPr>
      </w:pPr>
    </w:p>
    <w:p w:rsidR="005B6EBA" w:rsidRPr="005B6EBA" w:rsidRDefault="005B6EBA" w:rsidP="005B6EBA">
      <w:pPr>
        <w:ind w:left="720"/>
        <w:rPr>
          <w:rFonts w:ascii="Tahoma" w:hAnsi="Tahoma" w:cs="Tahoma"/>
        </w:rPr>
      </w:pPr>
      <w:r w:rsidRPr="005B6EBA">
        <w:rPr>
          <w:rFonts w:ascii="Tahoma" w:hAnsi="Tahoma" w:cs="Tahoma"/>
        </w:rPr>
        <w:t xml:space="preserve">La Sexta Disposición Específica de la acotada Directiva establecía que el porcentaje mínimo del sesenta por ciento (60%) de financiamiento del organismo cooperante establecido en la Tercera Disposición Complementaria de la Ley, para que </w:t>
      </w:r>
      <w:r w:rsidRPr="005B6EBA">
        <w:rPr>
          <w:rFonts w:ascii="Tahoma" w:hAnsi="Tahoma" w:cs="Tahoma"/>
          <w:b/>
          <w:bCs/>
        </w:rPr>
        <w:t>las adquisiciones y contrataciones se sujeten a las disposiciones establecidas en dichos convenios, se refiere al financiamiento global del proyecto.</w:t>
      </w:r>
      <w:r w:rsidRPr="005B6EBA">
        <w:rPr>
          <w:rFonts w:ascii="Tahoma" w:hAnsi="Tahoma" w:cs="Tahoma"/>
        </w:rPr>
        <w:t xml:space="preserve"> (El resaltado es nuestro)</w:t>
      </w:r>
    </w:p>
    <w:p w:rsidR="005B6EBA" w:rsidRPr="005B6EBA" w:rsidRDefault="005B6EBA" w:rsidP="005B6EBA">
      <w:pPr>
        <w:ind w:left="720"/>
        <w:rPr>
          <w:rFonts w:ascii="Tahoma" w:hAnsi="Tahoma" w:cs="Tahoma"/>
        </w:rPr>
      </w:pPr>
    </w:p>
    <w:p w:rsidR="005B6EBA" w:rsidRPr="005B6EBA" w:rsidRDefault="005B6EBA" w:rsidP="005B6EBA">
      <w:pPr>
        <w:numPr>
          <w:ilvl w:val="0"/>
          <w:numId w:val="7"/>
        </w:numPr>
        <w:jc w:val="both"/>
        <w:rPr>
          <w:rFonts w:ascii="Tahoma" w:hAnsi="Tahoma" w:cs="Tahoma"/>
        </w:rPr>
      </w:pPr>
      <w:r w:rsidRPr="005B6EBA">
        <w:rPr>
          <w:rFonts w:ascii="Tahoma" w:hAnsi="Tahoma" w:cs="Tahoma"/>
        </w:rPr>
        <w:t xml:space="preserve">No obstante ello, el 18 de mayo de 2006 fue publicado el Decreto Supremo Nº 063-2006-EF que modificó el Reglamento de la Ley de Contrataciones y Adquisiciones del Estado incorporó la Sexta Disposición Final que dispuso que </w:t>
      </w:r>
      <w:r w:rsidRPr="005B6EBA">
        <w:rPr>
          <w:rFonts w:ascii="Tahoma" w:hAnsi="Tahoma" w:cs="Tahoma"/>
          <w:b/>
          <w:bCs/>
          <w:i/>
          <w:iCs/>
          <w:u w:val="single"/>
        </w:rPr>
        <w:t>“en el caso de las Entidades que utilicen fondos públicos provenientes de donaciones o de operaciones oficiales de crédito, éstas sujetarán la ejecución del gasto y los procesos de Licitación y Concurso a lo establecido en los respectivos Convenios de Cooperación</w:t>
      </w:r>
      <w:r w:rsidRPr="005B6EBA">
        <w:rPr>
          <w:rFonts w:ascii="Tahoma" w:hAnsi="Tahoma" w:cs="Tahoma"/>
          <w:i/>
          <w:iCs/>
        </w:rPr>
        <w:t xml:space="preserve"> y en los documentos anexos, de acuerdo a lo establecido por el artículo 68, inciso 1, de la Ley General del Sistema Nacional de Presupuesto, Ley Nº 28411”</w:t>
      </w:r>
      <w:r w:rsidRPr="005B6EBA">
        <w:rPr>
          <w:rFonts w:ascii="Tahoma" w:hAnsi="Tahoma" w:cs="Tahoma"/>
        </w:rPr>
        <w:t xml:space="preserve">. </w:t>
      </w:r>
    </w:p>
    <w:p w:rsidR="005B6EBA" w:rsidRPr="005B6EBA" w:rsidRDefault="005B6EBA" w:rsidP="005B6EBA">
      <w:pPr>
        <w:ind w:left="720"/>
        <w:rPr>
          <w:rFonts w:ascii="Tahoma" w:hAnsi="Tahoma" w:cs="Tahoma"/>
        </w:rPr>
      </w:pPr>
    </w:p>
    <w:p w:rsidR="005B6EBA" w:rsidRPr="005B6EBA" w:rsidRDefault="005B6EBA" w:rsidP="005B6EBA">
      <w:pPr>
        <w:numPr>
          <w:ilvl w:val="0"/>
          <w:numId w:val="7"/>
        </w:numPr>
        <w:jc w:val="both"/>
        <w:rPr>
          <w:rFonts w:ascii="Tahoma" w:hAnsi="Tahoma" w:cs="Tahoma"/>
        </w:rPr>
      </w:pPr>
      <w:r w:rsidRPr="005B6EBA">
        <w:rPr>
          <w:rFonts w:ascii="Tahoma" w:hAnsi="Tahoma" w:cs="Tahoma"/>
        </w:rPr>
        <w:t xml:space="preserve">En ese sentido, mediante Opinión Legal Nº 002-2007/GNP del 09 de enero del 2007 CONSUCODE (hoy OSCE) se indicó que </w:t>
      </w:r>
      <w:r w:rsidRPr="005B6EBA">
        <w:rPr>
          <w:rFonts w:ascii="Tahoma" w:hAnsi="Tahoma" w:cs="Tahoma"/>
          <w:i/>
          <w:iCs/>
        </w:rPr>
        <w:t xml:space="preserve">“(…) </w:t>
      </w:r>
      <w:r w:rsidRPr="005B6EBA">
        <w:rPr>
          <w:rFonts w:ascii="Tahoma" w:hAnsi="Tahoma" w:cs="Tahoma"/>
          <w:b/>
          <w:bCs/>
          <w:i/>
          <w:iCs/>
          <w:u w:val="single"/>
        </w:rPr>
        <w:t>Las contrataciones y adquisiciones derivadas de convenio internacionales deben sujetarse a lo establecido en los respectivos convenios</w:t>
      </w:r>
      <w:r w:rsidRPr="005B6EBA">
        <w:rPr>
          <w:rFonts w:ascii="Tahoma" w:hAnsi="Tahoma" w:cs="Tahoma"/>
          <w:i/>
          <w:iCs/>
        </w:rPr>
        <w:t xml:space="preserve">, conforme fue aclarado con la incorporación de la Sexta Disposición Final del reglamento, </w:t>
      </w:r>
      <w:r w:rsidRPr="005B6EBA">
        <w:rPr>
          <w:rFonts w:ascii="Tahoma" w:hAnsi="Tahoma" w:cs="Tahoma"/>
          <w:b/>
          <w:bCs/>
          <w:i/>
          <w:iCs/>
          <w:u w:val="single"/>
        </w:rPr>
        <w:t>por tanto, no cabría aplicar el porcentaje mínimo establecido en la Tercera Disposición Complementaria de la Ley.</w:t>
      </w:r>
      <w:r w:rsidRPr="005B6EBA">
        <w:rPr>
          <w:rFonts w:ascii="Tahoma" w:hAnsi="Tahoma" w:cs="Tahoma"/>
        </w:rPr>
        <w:t xml:space="preserve"> // Las contrataciones y adquisiciones con fondos de contrapartida nacional se sujetarán a lo regulado en los convenios internacionales” (SIC). (Resaltado nuestro).</w:t>
      </w:r>
    </w:p>
    <w:p w:rsidR="005B6EBA" w:rsidRPr="005B6EBA" w:rsidRDefault="005B6EBA" w:rsidP="005B6EBA">
      <w:pPr>
        <w:ind w:left="720"/>
        <w:rPr>
          <w:rFonts w:ascii="Tahoma" w:hAnsi="Tahoma" w:cs="Tahoma"/>
        </w:rPr>
      </w:pPr>
    </w:p>
    <w:p w:rsidR="005B6EBA" w:rsidRPr="005B6EBA" w:rsidRDefault="005B6EBA" w:rsidP="005B6EBA">
      <w:pPr>
        <w:numPr>
          <w:ilvl w:val="0"/>
          <w:numId w:val="7"/>
        </w:numPr>
        <w:jc w:val="both"/>
        <w:rPr>
          <w:rFonts w:ascii="Tahoma" w:hAnsi="Tahoma" w:cs="Tahoma"/>
        </w:rPr>
      </w:pPr>
      <w:r w:rsidRPr="005B6EBA">
        <w:rPr>
          <w:rFonts w:ascii="Tahoma" w:hAnsi="Tahoma" w:cs="Tahoma"/>
        </w:rPr>
        <w:t xml:space="preserve">Teniendo en cuenta los instrumentos legales citados precedentemente, puede colegirse entonces que en el caso en concreto no cabe realizar un análisis acerca del porcentaje de financiamiento derivado de los Contratos de Préstamo N° 1810/OC-PE-BID y Nº 7423-PE-BIRF, sino mas bien, el sólo hecho que el proceso de selección bajo análisis se efectuó bajo el Programa de Transporte Rural Descentralizado con recursos provenientes del Banco Interamericano de Desarrollo – Préstamo BID 1810/OC-PE y del Banco Internacional de Reconstrucción y Fomento (BIRF) – </w:t>
      </w:r>
      <w:r w:rsidRPr="005B6EBA">
        <w:rPr>
          <w:rFonts w:ascii="Tahoma" w:hAnsi="Tahoma" w:cs="Tahoma"/>
          <w:lang w:eastAsia="es-PE"/>
        </w:rPr>
        <w:t xml:space="preserve">Préstamo BIRF 7423-PE-BIRF, lo que determina que éste se sujete a las disposiciones establecidas en los contratos antes referidos y, por tanto, no corresponde aplicar la normativa de contrataciones del Estado para el estudio del caso en concreto. </w:t>
      </w:r>
    </w:p>
    <w:p w:rsidR="005B6EBA" w:rsidRPr="005B6EBA" w:rsidRDefault="005B6EBA" w:rsidP="005B6EBA">
      <w:pPr>
        <w:ind w:left="720"/>
        <w:rPr>
          <w:rFonts w:ascii="Tahoma" w:hAnsi="Tahoma" w:cs="Tahoma"/>
        </w:rPr>
      </w:pPr>
    </w:p>
    <w:p w:rsidR="005B6EBA" w:rsidRPr="005B6EBA" w:rsidRDefault="005B6EBA" w:rsidP="005B6EBA">
      <w:pPr>
        <w:numPr>
          <w:ilvl w:val="0"/>
          <w:numId w:val="7"/>
        </w:numPr>
        <w:jc w:val="both"/>
        <w:rPr>
          <w:rFonts w:ascii="Tahoma" w:hAnsi="Tahoma" w:cs="Tahoma"/>
        </w:rPr>
      </w:pPr>
      <w:r w:rsidRPr="005B6EBA">
        <w:rPr>
          <w:rFonts w:ascii="Tahoma" w:hAnsi="Tahoma" w:cs="Tahoma"/>
        </w:rPr>
        <w:lastRenderedPageBreak/>
        <w:t xml:space="preserve">Nótese en este punto que las Bases del proceso no han estipulado referencia alguna respecto a las conductas tipificadas como sancionables, </w:t>
      </w:r>
      <w:r w:rsidRPr="005B6EBA">
        <w:rPr>
          <w:rFonts w:ascii="Tahoma" w:hAnsi="Tahoma" w:cs="Tahoma"/>
          <w:lang w:eastAsia="es-PE"/>
        </w:rPr>
        <w:t>y</w:t>
      </w:r>
      <w:r w:rsidRPr="005B6EBA">
        <w:rPr>
          <w:rFonts w:ascii="Tahoma" w:hAnsi="Tahoma" w:cs="Tahoma"/>
        </w:rPr>
        <w:t xml:space="preserve"> que de la revisión de la Proforma del Contrato incluida en las Bases se contempla la posibilidad de que la normativa nacional pueda aplicarse de manera supletoria a las normas de los Bancos. En relación a ello, debe señalarse que es criterio reiterativo de este Tribunal que la aplicación supletoria de la normativa nacional en este tipo de contratos de préstamo opera únicamente respecto de requisitos formales o detalles de procedimiento y no en lo que respecta a la imposición de sanciones</w:t>
      </w:r>
      <w:r w:rsidRPr="005B6EBA">
        <w:rPr>
          <w:rStyle w:val="Refdenotaalpie"/>
          <w:rFonts w:ascii="Tahoma" w:hAnsi="Tahoma" w:cs="Tahoma"/>
        </w:rPr>
        <w:footnoteReference w:id="3"/>
      </w:r>
      <w:r w:rsidRPr="005B6EBA">
        <w:rPr>
          <w:rFonts w:ascii="Tahoma" w:hAnsi="Tahoma" w:cs="Tahoma"/>
        </w:rPr>
        <w:t>.</w:t>
      </w:r>
    </w:p>
    <w:p w:rsidR="005B6EBA" w:rsidRPr="005B6EBA" w:rsidRDefault="005B6EBA" w:rsidP="005B6EBA">
      <w:pPr>
        <w:ind w:left="720"/>
        <w:rPr>
          <w:rFonts w:ascii="Tahoma" w:hAnsi="Tahoma" w:cs="Tahoma"/>
        </w:rPr>
      </w:pPr>
    </w:p>
    <w:p w:rsidR="005B6EBA" w:rsidRPr="005B6EBA" w:rsidRDefault="005B6EBA" w:rsidP="005B6EBA">
      <w:pPr>
        <w:numPr>
          <w:ilvl w:val="0"/>
          <w:numId w:val="7"/>
        </w:numPr>
        <w:jc w:val="both"/>
        <w:rPr>
          <w:rFonts w:ascii="Tahoma" w:hAnsi="Tahoma" w:cs="Tahoma"/>
        </w:rPr>
      </w:pPr>
      <w:r w:rsidRPr="005B6EBA">
        <w:rPr>
          <w:rFonts w:ascii="Tahoma" w:hAnsi="Tahoma" w:cs="Tahoma"/>
        </w:rPr>
        <w:t>Adicionalmente, no se aprecia una remisión expresa a la parte pertinente en materia sancionatoria establecida en la normativa de contrataciones del Estado, ni tampoco una tipificación expresa de la conducta sancionable concordante a las causales de infracción estipuladas en el artículo 294º del Reglamento.</w:t>
      </w:r>
    </w:p>
    <w:p w:rsidR="005B6EBA" w:rsidRPr="005B6EBA" w:rsidRDefault="005B6EBA" w:rsidP="005B6EBA">
      <w:pPr>
        <w:ind w:left="720"/>
        <w:rPr>
          <w:rFonts w:ascii="Tahoma" w:hAnsi="Tahoma" w:cs="Tahoma"/>
        </w:rPr>
      </w:pPr>
    </w:p>
    <w:p w:rsidR="005B6EBA" w:rsidRPr="005B6EBA" w:rsidRDefault="005B6EBA" w:rsidP="005B6EBA">
      <w:pPr>
        <w:numPr>
          <w:ilvl w:val="0"/>
          <w:numId w:val="7"/>
        </w:numPr>
        <w:jc w:val="both"/>
        <w:rPr>
          <w:rFonts w:ascii="Tahoma" w:hAnsi="Tahoma" w:cs="Tahoma"/>
        </w:rPr>
      </w:pPr>
      <w:r w:rsidRPr="005B6EBA">
        <w:rPr>
          <w:rFonts w:ascii="Tahoma" w:hAnsi="Tahoma" w:cs="Tahoma"/>
        </w:rPr>
        <w:t xml:space="preserve">Respecto a esto último, debe tenerse en cuenta que uno de los principios fundamentales que rigen los procedimientos administrativos sancionadores es el denominado </w:t>
      </w:r>
      <w:r w:rsidRPr="005B6EBA">
        <w:rPr>
          <w:rFonts w:ascii="Tahoma" w:hAnsi="Tahoma" w:cs="Tahoma"/>
          <w:i/>
          <w:iCs/>
        </w:rPr>
        <w:t>Principio de Tipicidad</w:t>
      </w:r>
      <w:r w:rsidRPr="005B6EBA">
        <w:rPr>
          <w:rFonts w:ascii="Tahoma" w:hAnsi="Tahoma" w:cs="Tahoma"/>
        </w:rPr>
        <w:t xml:space="preserve">, </w:t>
      </w:r>
      <w:r w:rsidRPr="005B6EBA">
        <w:rPr>
          <w:rFonts w:ascii="Tahoma" w:hAnsi="Tahoma" w:cs="Tahoma"/>
          <w:lang w:val="es-PE"/>
        </w:rPr>
        <w:t xml:space="preserve">consagrado en el numeral 4 del artículo 230 del la Ley 27444, conforme a dicho Principio </w:t>
      </w:r>
      <w:r w:rsidRPr="005B6EBA">
        <w:rPr>
          <w:rFonts w:ascii="Tahoma" w:hAnsi="Tahoma" w:cs="Tahoma"/>
          <w:u w:val="single"/>
        </w:rPr>
        <w:t>sólo constituyen conductas sancionables administrativamente las infracciones previstas expresamente en normas con rango de ley mediante su tipificación, sin administrar interpretación extensiva o analogía</w:t>
      </w:r>
      <w:r w:rsidRPr="005B6EBA">
        <w:rPr>
          <w:rFonts w:ascii="Tahoma" w:hAnsi="Tahoma" w:cs="Tahoma"/>
        </w:rPr>
        <w:t xml:space="preserve">.  </w:t>
      </w:r>
    </w:p>
    <w:p w:rsidR="005B6EBA" w:rsidRPr="005B6EBA" w:rsidRDefault="005B6EBA" w:rsidP="005B6EBA">
      <w:pPr>
        <w:ind w:left="720"/>
        <w:rPr>
          <w:rFonts w:ascii="Tahoma" w:hAnsi="Tahoma" w:cs="Tahoma"/>
        </w:rPr>
      </w:pPr>
    </w:p>
    <w:p w:rsidR="005B6EBA" w:rsidRPr="005B6EBA" w:rsidRDefault="005B6EBA" w:rsidP="005B6EBA">
      <w:pPr>
        <w:numPr>
          <w:ilvl w:val="0"/>
          <w:numId w:val="7"/>
        </w:numPr>
        <w:jc w:val="both"/>
        <w:rPr>
          <w:rFonts w:ascii="Tahoma" w:hAnsi="Tahoma" w:cs="Tahoma"/>
        </w:rPr>
      </w:pPr>
      <w:r w:rsidRPr="005B6EBA">
        <w:rPr>
          <w:rFonts w:ascii="Tahoma" w:hAnsi="Tahoma" w:cs="Tahoma"/>
        </w:rPr>
        <w:t>Consecuentemente, al verificarse que el proceso de selección materia de análisis se ha regido por las normas establecidas en los contratos de los referidos préstamos y sus respectivas Bases Administrativas, y que ninguno de estos documentos remite de manera expresa ni tipifica la conducta del Postor como una infracción concordante a las establecidas en el artículo 294 del Reglamento, se puede colegir entonces que este Tribunal carece de competencia para imponer sanción administrativa contra el Postor, por lo que se concluye que resulta irrelevante su pronunciamiento respecto al fondo del presente caso.</w:t>
      </w:r>
    </w:p>
    <w:p w:rsidR="005B6EBA" w:rsidRPr="005B6EBA" w:rsidRDefault="005B6EBA" w:rsidP="005B6EBA">
      <w:pPr>
        <w:pStyle w:val="Prrafodelista"/>
        <w:rPr>
          <w:sz w:val="20"/>
          <w:szCs w:val="20"/>
        </w:rPr>
      </w:pPr>
    </w:p>
    <w:p w:rsidR="005B6EBA" w:rsidRPr="005B6EBA" w:rsidRDefault="005B6EBA" w:rsidP="005B6EBA">
      <w:pPr>
        <w:numPr>
          <w:ilvl w:val="0"/>
          <w:numId w:val="7"/>
        </w:numPr>
        <w:jc w:val="both"/>
        <w:rPr>
          <w:rFonts w:ascii="Tahoma" w:hAnsi="Tahoma" w:cs="Tahoma"/>
        </w:rPr>
      </w:pPr>
      <w:r w:rsidRPr="005B6EBA">
        <w:rPr>
          <w:rFonts w:ascii="Tahoma" w:hAnsi="Tahoma" w:cs="Tahoma"/>
        </w:rPr>
        <w:t>Sin perjuicio de lo expuesto, atendiendo a que la falsificación de documentos constituye un ilícito penal, previsto y sancionado en el artículo 427º del Código Penal</w:t>
      </w:r>
      <w:r w:rsidRPr="005B6EBA">
        <w:rPr>
          <w:rFonts w:ascii="Tahoma" w:hAnsi="Tahoma" w:cs="Tahoma"/>
          <w:vertAlign w:val="superscript"/>
        </w:rPr>
        <w:footnoteReference w:id="4"/>
      </w:r>
      <w:r w:rsidRPr="005B6EBA">
        <w:rPr>
          <w:rFonts w:ascii="Tahoma" w:hAnsi="Tahoma" w:cs="Tahoma"/>
        </w:rPr>
        <w:t>, el cual tutela como bien jurídico la fe pública y la funcionalidad del documento en el tráfico jurídico y trata de evitar perjuicios que afecten la confiabilidad especialmente en las adquisiciones que realiza el Estado, y que, además, de acuerdo lo establecido en el artículo 438º del referido Código Penal</w:t>
      </w:r>
      <w:r w:rsidRPr="005B6EBA">
        <w:rPr>
          <w:rFonts w:ascii="Tahoma" w:hAnsi="Tahoma" w:cs="Tahoma"/>
          <w:vertAlign w:val="superscript"/>
        </w:rPr>
        <w:footnoteReference w:id="5"/>
      </w:r>
      <w:r w:rsidRPr="005B6EBA">
        <w:rPr>
          <w:rFonts w:ascii="Tahoma" w:hAnsi="Tahoma" w:cs="Tahoma"/>
        </w:rPr>
        <w:t xml:space="preserve">, también se encuentran tipificados como delito de falsedad genérica aquellos en los que se cometa falsedad simulando, suponiendo, alterando la verdad intencionalmente y con perjuicio de terceros, por palabras, hechos o usurpando nombre, calidad o empleo que no le corresponde, se </w:t>
      </w:r>
      <w:r w:rsidRPr="005B6EBA">
        <w:rPr>
          <w:rFonts w:ascii="Tahoma" w:hAnsi="Tahoma" w:cs="Tahoma"/>
        </w:rPr>
        <w:lastRenderedPageBreak/>
        <w:t>dispone poner en conocimiento del Ministerio Público y la Presidencia del OSCE los hechos expuestos para que procedan conforme a sus atribuciones.</w:t>
      </w:r>
    </w:p>
    <w:p w:rsidR="005B6EBA" w:rsidRPr="005B6EBA" w:rsidRDefault="005B6EBA" w:rsidP="005B6EBA">
      <w:pPr>
        <w:jc w:val="both"/>
        <w:rPr>
          <w:rFonts w:ascii="Tahoma" w:eastAsia="MS Mincho" w:hAnsi="Tahoma" w:cs="Tahoma"/>
          <w:b/>
          <w:lang w:eastAsia="en-US"/>
        </w:rPr>
      </w:pPr>
    </w:p>
    <w:p w:rsidR="005B6EBA" w:rsidRPr="005B6EBA" w:rsidRDefault="005B6EBA" w:rsidP="005B6EBA">
      <w:pPr>
        <w:tabs>
          <w:tab w:val="left" w:pos="3544"/>
          <w:tab w:val="left" w:pos="7230"/>
          <w:tab w:val="left" w:pos="8505"/>
        </w:tabs>
        <w:autoSpaceDE w:val="0"/>
        <w:autoSpaceDN w:val="0"/>
        <w:adjustRightInd w:val="0"/>
        <w:ind w:firstLine="567"/>
        <w:jc w:val="both"/>
        <w:rPr>
          <w:rFonts w:ascii="Tahoma" w:eastAsia="Calibri" w:hAnsi="Tahoma" w:cs="Tahoma"/>
          <w:color w:val="000000"/>
        </w:rPr>
      </w:pPr>
      <w:r w:rsidRPr="005B6EBA">
        <w:rPr>
          <w:rFonts w:ascii="Tahoma" w:eastAsia="Calibri" w:hAnsi="Tahoma" w:cs="Tahoma"/>
          <w:color w:val="000000"/>
        </w:rPr>
        <w:t>Por estos fundamentos, de conformidad con el informe del Vocal Ponente Dra. Janette Elke Ramírez Maynetto y la intervención de los Vocales Dra. Ada Basulto Liewald y Dr. Carlos Fonseca Oliveira, y atendiendo a la reconformación de la Primera Sala del Tribunal de Contrataciones y Adquisiciones del Estado, según lo dispuesto en la Resolución № 190-2010-OSCE/PRE, expedida el 29 de marzo de 2010,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5B6EBA" w:rsidRPr="005B6EBA" w:rsidRDefault="005B6EBA" w:rsidP="005B6EBA">
      <w:pPr>
        <w:tabs>
          <w:tab w:val="left" w:pos="3544"/>
          <w:tab w:val="left" w:pos="7230"/>
          <w:tab w:val="left" w:pos="8505"/>
        </w:tabs>
        <w:autoSpaceDE w:val="0"/>
        <w:autoSpaceDN w:val="0"/>
        <w:adjustRightInd w:val="0"/>
        <w:ind w:firstLine="567"/>
        <w:jc w:val="both"/>
        <w:rPr>
          <w:rFonts w:ascii="Tahoma" w:eastAsia="Calibri" w:hAnsi="Tahoma" w:cs="Tahoma"/>
          <w:color w:val="000000"/>
        </w:rPr>
      </w:pPr>
    </w:p>
    <w:p w:rsidR="005B6EBA" w:rsidRPr="005B6EBA" w:rsidRDefault="005B6EBA" w:rsidP="005B6EBA">
      <w:pPr>
        <w:jc w:val="both"/>
        <w:rPr>
          <w:rFonts w:ascii="Tahoma" w:hAnsi="Tahoma" w:cs="Tahoma"/>
          <w:b/>
          <w:shadow/>
        </w:rPr>
      </w:pPr>
      <w:r w:rsidRPr="005B6EBA">
        <w:rPr>
          <w:rFonts w:ascii="Tahoma" w:hAnsi="Tahoma" w:cs="Tahoma"/>
          <w:b/>
          <w:shadow/>
        </w:rPr>
        <w:t>LA SALA RESUELVE:</w:t>
      </w:r>
    </w:p>
    <w:p w:rsidR="005B6EBA" w:rsidRPr="005B6EBA" w:rsidRDefault="005B6EBA" w:rsidP="005B6EBA">
      <w:pPr>
        <w:rPr>
          <w:rFonts w:ascii="Tahoma" w:hAnsi="Tahoma" w:cs="Tahoma"/>
          <w:b/>
          <w:bCs/>
        </w:rPr>
      </w:pPr>
    </w:p>
    <w:p w:rsidR="005B6EBA" w:rsidRPr="005B6EBA" w:rsidRDefault="005B6EBA" w:rsidP="005B6EBA">
      <w:pPr>
        <w:numPr>
          <w:ilvl w:val="0"/>
          <w:numId w:val="8"/>
        </w:numPr>
        <w:jc w:val="both"/>
        <w:rPr>
          <w:rFonts w:ascii="Tahoma" w:hAnsi="Tahoma" w:cs="Tahoma"/>
        </w:rPr>
      </w:pPr>
      <w:r w:rsidRPr="005B6EBA">
        <w:rPr>
          <w:rFonts w:ascii="Tahoma" w:hAnsi="Tahoma" w:cs="Tahoma"/>
        </w:rPr>
        <w:t>Declarar que en el caso de autos, este Tribunal carece de competencia para pronunciarse respecto a la supuesta responsabilidad de la empresa A &amp; R CONSTRUCTORA Y SERVICIOS ARCOS S.R.L.</w:t>
      </w:r>
      <w:r w:rsidRPr="005B6EBA">
        <w:rPr>
          <w:rFonts w:ascii="Tahoma" w:hAnsi="Tahoma" w:cs="Tahoma"/>
          <w:lang w:val="es-PE"/>
        </w:rPr>
        <w:t>, debiendo archivarse el presente expediente; sin perjuicio de las acciones que la Entidad estime por conveniente adoptar en salvaguarda de sus intereses.</w:t>
      </w:r>
    </w:p>
    <w:p w:rsidR="005B6EBA" w:rsidRPr="005B6EBA" w:rsidRDefault="005B6EBA" w:rsidP="005B6EBA">
      <w:pPr>
        <w:ind w:left="720"/>
        <w:rPr>
          <w:rFonts w:ascii="Tahoma" w:hAnsi="Tahoma" w:cs="Tahoma"/>
          <w:b/>
          <w:bCs/>
        </w:rPr>
      </w:pPr>
    </w:p>
    <w:p w:rsidR="005B6EBA" w:rsidRPr="005B6EBA" w:rsidRDefault="005B6EBA" w:rsidP="005B6EBA">
      <w:pPr>
        <w:numPr>
          <w:ilvl w:val="0"/>
          <w:numId w:val="8"/>
        </w:numPr>
        <w:jc w:val="both"/>
        <w:rPr>
          <w:rFonts w:ascii="Tahoma" w:hAnsi="Tahoma" w:cs="Tahoma"/>
          <w:b/>
          <w:bCs/>
        </w:rPr>
      </w:pPr>
      <w:r w:rsidRPr="005B6EBA">
        <w:rPr>
          <w:rFonts w:ascii="Tahoma" w:hAnsi="Tahoma" w:cs="Tahoma"/>
        </w:rPr>
        <w:t>Poner la presente Resolución en conocimiento del Ministerio Público y la Presidencia del OSCE los hechos expuestos, para que procedan conforme a sus atribuciones.</w:t>
      </w:r>
    </w:p>
    <w:p w:rsidR="005B6EBA" w:rsidRPr="005B6EBA" w:rsidRDefault="005B6EBA" w:rsidP="005B6EBA">
      <w:pPr>
        <w:jc w:val="both"/>
        <w:rPr>
          <w:rFonts w:ascii="Tahoma" w:hAnsi="Tahoma" w:cs="Tahoma"/>
          <w:b/>
          <w:shadow/>
        </w:rPr>
      </w:pPr>
    </w:p>
    <w:p w:rsidR="005B6EBA" w:rsidRPr="005B6EBA" w:rsidRDefault="005B6EBA" w:rsidP="005B6EBA">
      <w:pPr>
        <w:pStyle w:val="Textoindependiente21"/>
        <w:rPr>
          <w:rFonts w:cs="Tahoma"/>
          <w:sz w:val="20"/>
        </w:rPr>
      </w:pPr>
      <w:r w:rsidRPr="005B6EBA">
        <w:rPr>
          <w:rFonts w:cs="Tahoma"/>
          <w:sz w:val="20"/>
        </w:rPr>
        <w:t>Regístrese, comuníquese y publíquese.</w:t>
      </w:r>
    </w:p>
    <w:p w:rsidR="005B6EBA" w:rsidRPr="005B6EBA" w:rsidRDefault="005B6EBA" w:rsidP="005B6EBA">
      <w:pPr>
        <w:jc w:val="center"/>
        <w:rPr>
          <w:rFonts w:ascii="Tahoma" w:hAnsi="Tahoma" w:cs="Tahoma"/>
          <w:b/>
          <w:shadow/>
          <w:lang w:val="pt-BR"/>
        </w:rPr>
      </w:pPr>
    </w:p>
    <w:p w:rsidR="005B6EBA" w:rsidRPr="005B6EBA" w:rsidRDefault="005B6EBA" w:rsidP="005B6EBA">
      <w:pPr>
        <w:jc w:val="center"/>
        <w:rPr>
          <w:rFonts w:ascii="Tahoma" w:hAnsi="Tahoma" w:cs="Tahoma"/>
          <w:b/>
          <w:shadow/>
          <w:lang w:val="pt-BR"/>
        </w:rPr>
      </w:pPr>
    </w:p>
    <w:p w:rsidR="005B6EBA" w:rsidRPr="005B6EBA" w:rsidRDefault="005B6EBA" w:rsidP="005B6EBA">
      <w:pPr>
        <w:jc w:val="center"/>
        <w:rPr>
          <w:rFonts w:ascii="Tahoma" w:hAnsi="Tahoma" w:cs="Tahoma"/>
          <w:b/>
          <w:shadow/>
          <w:lang w:val="pt-BR"/>
        </w:rPr>
      </w:pPr>
    </w:p>
    <w:p w:rsidR="005B6EBA" w:rsidRPr="005B6EBA" w:rsidRDefault="005B6EBA" w:rsidP="005B6EBA">
      <w:pPr>
        <w:jc w:val="center"/>
        <w:rPr>
          <w:rFonts w:ascii="Tahoma" w:hAnsi="Tahoma" w:cs="Tahoma"/>
          <w:b/>
          <w:shadow/>
          <w:lang w:val="pt-BR"/>
        </w:rPr>
      </w:pPr>
    </w:p>
    <w:p w:rsidR="005B6EBA" w:rsidRPr="005B6EBA" w:rsidRDefault="005B6EBA" w:rsidP="005B6EBA">
      <w:pPr>
        <w:jc w:val="center"/>
        <w:rPr>
          <w:rFonts w:ascii="Tahoma" w:hAnsi="Tahoma" w:cs="Tahoma"/>
          <w:b/>
          <w:shadow/>
          <w:lang w:val="pt-BR"/>
        </w:rPr>
      </w:pPr>
    </w:p>
    <w:p w:rsidR="005B6EBA" w:rsidRPr="005B6EBA" w:rsidRDefault="005B6EBA" w:rsidP="005B6EBA">
      <w:pPr>
        <w:jc w:val="center"/>
        <w:rPr>
          <w:rFonts w:ascii="Tahoma" w:hAnsi="Tahoma" w:cs="Tahoma"/>
          <w:b/>
          <w:shadow/>
          <w:lang w:val="pt-BR"/>
        </w:rPr>
      </w:pPr>
      <w:r w:rsidRPr="005B6EBA">
        <w:rPr>
          <w:rFonts w:ascii="Tahoma" w:hAnsi="Tahoma" w:cs="Tahoma"/>
          <w:b/>
          <w:shadow/>
          <w:lang w:val="pt-BR"/>
        </w:rPr>
        <w:t>PRESIDENTA</w:t>
      </w:r>
    </w:p>
    <w:p w:rsidR="005B6EBA" w:rsidRPr="005B6EBA" w:rsidRDefault="005B6EBA" w:rsidP="005B6EBA">
      <w:pPr>
        <w:jc w:val="both"/>
        <w:rPr>
          <w:rFonts w:ascii="Tahoma" w:hAnsi="Tahoma" w:cs="Tahoma"/>
          <w:b/>
          <w:shadow/>
          <w:lang w:val="pt-BR"/>
        </w:rPr>
      </w:pPr>
    </w:p>
    <w:p w:rsidR="005B6EBA" w:rsidRPr="005B6EBA" w:rsidRDefault="005B6EBA" w:rsidP="005B6EBA">
      <w:pPr>
        <w:jc w:val="both"/>
        <w:rPr>
          <w:rFonts w:ascii="Tahoma" w:hAnsi="Tahoma" w:cs="Tahoma"/>
          <w:b/>
          <w:shadow/>
          <w:lang w:val="pt-BR"/>
        </w:rPr>
      </w:pPr>
    </w:p>
    <w:p w:rsidR="005B6EBA" w:rsidRPr="005B6EBA" w:rsidRDefault="005B6EBA" w:rsidP="005B6EBA">
      <w:pPr>
        <w:jc w:val="both"/>
        <w:rPr>
          <w:rFonts w:ascii="Tahoma" w:hAnsi="Tahoma" w:cs="Tahoma"/>
          <w:b/>
          <w:shadow/>
          <w:lang w:val="pt-BR"/>
        </w:rPr>
      </w:pPr>
    </w:p>
    <w:p w:rsidR="005B6EBA" w:rsidRPr="005B6EBA" w:rsidRDefault="005B6EBA" w:rsidP="005B6EBA">
      <w:pPr>
        <w:jc w:val="both"/>
        <w:rPr>
          <w:rFonts w:ascii="Tahoma" w:hAnsi="Tahoma" w:cs="Tahoma"/>
          <w:b/>
          <w:shadow/>
          <w:lang w:val="pt-BR"/>
        </w:rPr>
      </w:pPr>
    </w:p>
    <w:p w:rsidR="005B6EBA" w:rsidRPr="005B6EBA" w:rsidRDefault="005B6EBA" w:rsidP="005B6EBA">
      <w:pPr>
        <w:jc w:val="both"/>
        <w:rPr>
          <w:rFonts w:ascii="Tahoma" w:hAnsi="Tahoma" w:cs="Tahoma"/>
          <w:b/>
          <w:shadow/>
          <w:lang w:val="pt-BR"/>
        </w:rPr>
      </w:pPr>
      <w:r w:rsidRPr="005B6EBA">
        <w:rPr>
          <w:rFonts w:ascii="Tahoma" w:hAnsi="Tahoma" w:cs="Tahoma"/>
          <w:b/>
          <w:shadow/>
          <w:lang w:val="pt-BR"/>
        </w:rPr>
        <w:t xml:space="preserve">                      VOCAL           </w:t>
      </w:r>
      <w:r w:rsidRPr="005B6EBA">
        <w:rPr>
          <w:rFonts w:ascii="Tahoma" w:hAnsi="Tahoma" w:cs="Tahoma"/>
          <w:b/>
          <w:shadow/>
          <w:lang w:val="pt-BR"/>
        </w:rPr>
        <w:tab/>
      </w:r>
      <w:r w:rsidRPr="005B6EBA">
        <w:rPr>
          <w:rFonts w:ascii="Tahoma" w:hAnsi="Tahoma" w:cs="Tahoma"/>
          <w:b/>
          <w:shadow/>
          <w:lang w:val="pt-BR"/>
        </w:rPr>
        <w:tab/>
        <w:t xml:space="preserve">                                                              VOCAL</w:t>
      </w:r>
    </w:p>
    <w:p w:rsidR="005B6EBA" w:rsidRPr="005B6EBA" w:rsidRDefault="005B6EBA" w:rsidP="005B6EBA">
      <w:pPr>
        <w:ind w:firstLine="708"/>
        <w:jc w:val="both"/>
        <w:rPr>
          <w:rFonts w:ascii="Tahoma" w:hAnsi="Tahoma" w:cs="Tahoma"/>
          <w:b/>
          <w:shadow/>
          <w:lang w:val="pt-BR"/>
        </w:rPr>
      </w:pPr>
    </w:p>
    <w:p w:rsidR="005B6EBA" w:rsidRPr="005B6EBA" w:rsidRDefault="005B6EBA" w:rsidP="005B6EBA">
      <w:pPr>
        <w:ind w:firstLine="708"/>
        <w:jc w:val="both"/>
        <w:rPr>
          <w:rFonts w:ascii="Tahoma" w:hAnsi="Tahoma" w:cs="Tahoma"/>
          <w:b/>
          <w:shadow/>
          <w:lang w:val="pt-BR"/>
        </w:rPr>
      </w:pPr>
    </w:p>
    <w:p w:rsidR="005B6EBA" w:rsidRPr="005B6EBA" w:rsidRDefault="005B6EBA" w:rsidP="005B6EBA">
      <w:pPr>
        <w:ind w:firstLine="708"/>
        <w:jc w:val="both"/>
        <w:rPr>
          <w:rFonts w:ascii="Tahoma" w:hAnsi="Tahoma" w:cs="Tahoma"/>
          <w:b/>
          <w:shadow/>
          <w:lang w:val="pt-BR"/>
        </w:rPr>
      </w:pPr>
    </w:p>
    <w:p w:rsidR="005B6EBA" w:rsidRPr="005B6EBA" w:rsidRDefault="005B6EBA" w:rsidP="005B6EBA">
      <w:pPr>
        <w:ind w:firstLine="708"/>
        <w:jc w:val="both"/>
        <w:rPr>
          <w:rFonts w:ascii="Tahoma" w:hAnsi="Tahoma" w:cs="Tahoma"/>
          <w:b/>
          <w:shadow/>
          <w:lang w:val="pt-BR"/>
        </w:rPr>
      </w:pPr>
    </w:p>
    <w:p w:rsidR="005B6EBA" w:rsidRPr="005B6EBA" w:rsidRDefault="005B6EBA" w:rsidP="005B6EBA">
      <w:pPr>
        <w:ind w:firstLine="708"/>
        <w:jc w:val="both"/>
        <w:rPr>
          <w:rFonts w:ascii="Tahoma" w:hAnsi="Tahoma" w:cs="Tahoma"/>
          <w:b/>
          <w:shadow/>
          <w:lang w:val="pt-BR"/>
        </w:rPr>
      </w:pPr>
    </w:p>
    <w:p w:rsidR="005B6EBA" w:rsidRPr="005B6EBA" w:rsidRDefault="005B6EBA" w:rsidP="005B6EBA">
      <w:pPr>
        <w:jc w:val="both"/>
        <w:rPr>
          <w:rFonts w:ascii="Tahoma" w:hAnsi="Tahoma" w:cs="Tahoma"/>
          <w:lang w:val="pt-BR"/>
        </w:rPr>
      </w:pPr>
      <w:r w:rsidRPr="005B6EBA">
        <w:rPr>
          <w:rFonts w:ascii="Tahoma" w:hAnsi="Tahoma" w:cs="Tahoma"/>
          <w:lang w:val="pt-BR"/>
        </w:rPr>
        <w:t>ss.</w:t>
      </w:r>
    </w:p>
    <w:p w:rsidR="005B6EBA" w:rsidRPr="005B6EBA" w:rsidRDefault="005B6EBA" w:rsidP="005B6EBA">
      <w:pPr>
        <w:pStyle w:val="Textoindependiente21"/>
        <w:rPr>
          <w:rFonts w:cs="Tahoma"/>
          <w:sz w:val="20"/>
          <w:lang w:val="en-US"/>
        </w:rPr>
      </w:pPr>
      <w:r w:rsidRPr="005B6EBA">
        <w:rPr>
          <w:rFonts w:cs="Tahoma"/>
          <w:sz w:val="20"/>
          <w:lang w:val="en-US"/>
        </w:rPr>
        <w:t>Basulto Liewald.</w:t>
      </w:r>
    </w:p>
    <w:p w:rsidR="005B6EBA" w:rsidRPr="005B6EBA" w:rsidRDefault="005B6EBA" w:rsidP="005B6EBA">
      <w:pPr>
        <w:pStyle w:val="Textoindependiente21"/>
        <w:rPr>
          <w:rFonts w:cs="Tahoma"/>
          <w:sz w:val="20"/>
          <w:lang w:val="en-US"/>
        </w:rPr>
      </w:pPr>
      <w:r w:rsidRPr="005B6EBA">
        <w:rPr>
          <w:rFonts w:cs="Tahoma"/>
          <w:sz w:val="20"/>
          <w:lang w:val="en-US"/>
        </w:rPr>
        <w:t>Ramírez Maynetto.</w:t>
      </w:r>
    </w:p>
    <w:p w:rsidR="005B6EBA" w:rsidRPr="005B6EBA" w:rsidRDefault="005B6EBA" w:rsidP="005B6EBA">
      <w:pPr>
        <w:pStyle w:val="Textoindependiente21"/>
        <w:rPr>
          <w:rFonts w:cs="Tahoma"/>
          <w:sz w:val="20"/>
        </w:rPr>
      </w:pPr>
      <w:r w:rsidRPr="005B6EBA">
        <w:rPr>
          <w:rFonts w:cs="Tahoma"/>
          <w:sz w:val="20"/>
        </w:rPr>
        <w:t>Fonseca Oliveira.</w:t>
      </w:r>
    </w:p>
    <w:p w:rsidR="005B6EBA" w:rsidRPr="005B6EBA" w:rsidRDefault="005B6EBA" w:rsidP="005B6EBA">
      <w:pPr>
        <w:rPr>
          <w:rFonts w:ascii="Tahoma" w:hAnsi="Tahoma" w:cs="Tahoma"/>
        </w:rPr>
      </w:pPr>
    </w:p>
    <w:p w:rsidR="005B6EBA" w:rsidRPr="005B6EBA" w:rsidRDefault="005B6EBA" w:rsidP="005B6EBA">
      <w:pPr>
        <w:rPr>
          <w:rFonts w:ascii="Tahoma" w:hAnsi="Tahoma" w:cs="Tahoma"/>
        </w:rPr>
      </w:pPr>
    </w:p>
    <w:p w:rsidR="005B6EBA" w:rsidRPr="005B6EBA" w:rsidRDefault="005B6EBA" w:rsidP="005B6EBA">
      <w:pPr>
        <w:rPr>
          <w:rFonts w:ascii="Tahoma" w:hAnsi="Tahoma" w:cs="Tahoma"/>
        </w:rPr>
      </w:pPr>
    </w:p>
    <w:p w:rsidR="00260F0B" w:rsidRPr="005B6EBA" w:rsidRDefault="001D27A6">
      <w:pPr>
        <w:rPr>
          <w:rFonts w:ascii="Tahoma" w:hAnsi="Tahoma" w:cs="Tahoma"/>
        </w:rPr>
      </w:pPr>
    </w:p>
    <w:sectPr w:rsidR="00260F0B" w:rsidRPr="005B6EBA" w:rsidSect="004B32F8">
      <w:headerReference w:type="default" r:id="rId7"/>
      <w:footerReference w:type="even" r:id="rId8"/>
      <w:footerReference w:type="default" r:id="rId9"/>
      <w:pgSz w:w="11907" w:h="16840" w:code="9"/>
      <w:pgMar w:top="2694" w:right="1701" w:bottom="1418" w:left="1843"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7A6" w:rsidRDefault="001D27A6" w:rsidP="005B6EBA">
      <w:r>
        <w:separator/>
      </w:r>
    </w:p>
  </w:endnote>
  <w:endnote w:type="continuationSeparator" w:id="1">
    <w:p w:rsidR="001D27A6" w:rsidRDefault="001D27A6" w:rsidP="005B6EBA">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2F8" w:rsidRDefault="00B3727F" w:rsidP="004B32F8">
    <w:pPr>
      <w:pStyle w:val="Piedepgina"/>
      <w:framePr w:wrap="around" w:vAnchor="text" w:hAnchor="margin" w:xAlign="center" w:y="1"/>
      <w:rPr>
        <w:rStyle w:val="Nmerodepgina"/>
      </w:rPr>
    </w:pPr>
    <w:r>
      <w:rPr>
        <w:rStyle w:val="Nmerodepgina"/>
      </w:rPr>
      <w:fldChar w:fldCharType="begin"/>
    </w:r>
    <w:r w:rsidR="00801237">
      <w:rPr>
        <w:rStyle w:val="Nmerodepgina"/>
      </w:rPr>
      <w:instrText xml:space="preserve">PAGE  </w:instrText>
    </w:r>
    <w:r>
      <w:rPr>
        <w:rStyle w:val="Nmerodepgina"/>
      </w:rPr>
      <w:fldChar w:fldCharType="end"/>
    </w:r>
  </w:p>
  <w:p w:rsidR="004B32F8" w:rsidRDefault="001D27A6">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2F8" w:rsidRPr="004A4E6B" w:rsidRDefault="00801237">
    <w:pPr>
      <w:pStyle w:val="Piedepgina"/>
      <w:framePr w:wrap="around" w:vAnchor="text" w:hAnchor="margin" w:xAlign="center" w:y="1"/>
      <w:rPr>
        <w:rStyle w:val="Nmerodepgina"/>
        <w:i/>
        <w:sz w:val="20"/>
      </w:rPr>
    </w:pPr>
    <w:r w:rsidRPr="004A4E6B">
      <w:rPr>
        <w:rStyle w:val="Nmerodepgina"/>
        <w:i/>
        <w:sz w:val="20"/>
      </w:rPr>
      <w:t xml:space="preserve">Página </w:t>
    </w:r>
    <w:r w:rsidR="00B3727F" w:rsidRPr="004A4E6B">
      <w:rPr>
        <w:rStyle w:val="Nmerodepgina"/>
        <w:i/>
        <w:sz w:val="20"/>
      </w:rPr>
      <w:fldChar w:fldCharType="begin"/>
    </w:r>
    <w:r w:rsidRPr="004A4E6B">
      <w:rPr>
        <w:rStyle w:val="Nmerodepgina"/>
        <w:i/>
        <w:sz w:val="20"/>
      </w:rPr>
      <w:instrText xml:space="preserve"> PAGE </w:instrText>
    </w:r>
    <w:r w:rsidR="00B3727F" w:rsidRPr="004A4E6B">
      <w:rPr>
        <w:rStyle w:val="Nmerodepgina"/>
        <w:i/>
        <w:sz w:val="20"/>
      </w:rPr>
      <w:fldChar w:fldCharType="separate"/>
    </w:r>
    <w:r w:rsidR="000A57B4">
      <w:rPr>
        <w:rStyle w:val="Nmerodepgina"/>
        <w:i/>
        <w:noProof/>
        <w:sz w:val="20"/>
      </w:rPr>
      <w:t>4</w:t>
    </w:r>
    <w:r w:rsidR="00B3727F" w:rsidRPr="004A4E6B">
      <w:rPr>
        <w:rStyle w:val="Nmerodepgina"/>
        <w:i/>
        <w:sz w:val="20"/>
      </w:rPr>
      <w:fldChar w:fldCharType="end"/>
    </w:r>
    <w:r w:rsidRPr="004A4E6B">
      <w:rPr>
        <w:rStyle w:val="Nmerodepgina"/>
        <w:i/>
        <w:sz w:val="20"/>
      </w:rPr>
      <w:t xml:space="preserve"> de </w:t>
    </w:r>
    <w:r w:rsidR="00B3727F" w:rsidRPr="004A4E6B">
      <w:rPr>
        <w:rStyle w:val="Nmerodepgina"/>
        <w:i/>
        <w:sz w:val="20"/>
      </w:rPr>
      <w:fldChar w:fldCharType="begin"/>
    </w:r>
    <w:r w:rsidRPr="004A4E6B">
      <w:rPr>
        <w:rStyle w:val="Nmerodepgina"/>
        <w:i/>
        <w:sz w:val="20"/>
      </w:rPr>
      <w:instrText xml:space="preserve"> NUMPAGES </w:instrText>
    </w:r>
    <w:r w:rsidR="00B3727F" w:rsidRPr="004A4E6B">
      <w:rPr>
        <w:rStyle w:val="Nmerodepgina"/>
        <w:i/>
        <w:sz w:val="20"/>
      </w:rPr>
      <w:fldChar w:fldCharType="separate"/>
    </w:r>
    <w:r w:rsidR="000A57B4">
      <w:rPr>
        <w:rStyle w:val="Nmerodepgina"/>
        <w:i/>
        <w:noProof/>
        <w:sz w:val="20"/>
      </w:rPr>
      <w:t>5</w:t>
    </w:r>
    <w:r w:rsidR="00B3727F" w:rsidRPr="004A4E6B">
      <w:rPr>
        <w:rStyle w:val="Nmerodepgina"/>
        <w:i/>
        <w:sz w:val="20"/>
      </w:rPr>
      <w:fldChar w:fldCharType="end"/>
    </w:r>
  </w:p>
  <w:p w:rsidR="004B32F8" w:rsidRDefault="001D27A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7A6" w:rsidRDefault="001D27A6" w:rsidP="005B6EBA">
      <w:r>
        <w:separator/>
      </w:r>
    </w:p>
  </w:footnote>
  <w:footnote w:type="continuationSeparator" w:id="1">
    <w:p w:rsidR="001D27A6" w:rsidRDefault="001D27A6" w:rsidP="005B6EBA">
      <w:r>
        <w:continuationSeparator/>
      </w:r>
    </w:p>
  </w:footnote>
  <w:footnote w:id="2">
    <w:p w:rsidR="005B6EBA" w:rsidRPr="00D66030" w:rsidRDefault="005B6EBA" w:rsidP="005B6EBA">
      <w:pPr>
        <w:pStyle w:val="Textonotapie"/>
        <w:ind w:left="142" w:hanging="142"/>
        <w:rPr>
          <w:i/>
          <w:iCs/>
          <w:sz w:val="18"/>
          <w:szCs w:val="18"/>
          <w:lang w:eastAsia="en-US"/>
        </w:rPr>
      </w:pPr>
      <w:r w:rsidRPr="00D66030">
        <w:rPr>
          <w:rStyle w:val="Refdenotaalpie"/>
          <w:i/>
          <w:iCs/>
          <w:sz w:val="18"/>
          <w:szCs w:val="18"/>
          <w:lang w:eastAsia="en-US"/>
        </w:rPr>
        <w:footnoteRef/>
      </w:r>
      <w:r w:rsidRPr="00D66030">
        <w:rPr>
          <w:i/>
          <w:iCs/>
          <w:sz w:val="18"/>
          <w:szCs w:val="18"/>
          <w:lang w:eastAsia="en-US"/>
        </w:rPr>
        <w:t xml:space="preserve"> Modificada mediante Resolución N.° 039-2006-CONSUCODE/PRE, publicada en el Diario Oficial El Peruano el 25 de enero de 2006.</w:t>
      </w:r>
    </w:p>
    <w:p w:rsidR="005B6EBA" w:rsidRDefault="005B6EBA" w:rsidP="005B6EBA">
      <w:pPr>
        <w:pStyle w:val="Textonotapie"/>
        <w:ind w:left="142" w:hanging="142"/>
      </w:pPr>
    </w:p>
  </w:footnote>
  <w:footnote w:id="3">
    <w:p w:rsidR="005B6EBA" w:rsidRDefault="005B6EBA" w:rsidP="005B6EBA">
      <w:pPr>
        <w:pStyle w:val="Textonotapie"/>
        <w:ind w:left="142" w:hanging="142"/>
      </w:pPr>
      <w:r w:rsidRPr="00D66030">
        <w:rPr>
          <w:rStyle w:val="Refdenotaalpie"/>
          <w:i/>
          <w:iCs/>
          <w:sz w:val="18"/>
          <w:szCs w:val="18"/>
          <w:lang w:eastAsia="en-US"/>
        </w:rPr>
        <w:footnoteRef/>
      </w:r>
      <w:r w:rsidRPr="00D66030">
        <w:rPr>
          <w:i/>
          <w:iCs/>
          <w:sz w:val="18"/>
          <w:szCs w:val="18"/>
          <w:lang w:eastAsia="en-US"/>
        </w:rPr>
        <w:t xml:space="preserve"> Ver Resolución Nº 668-2010-TC-S4 de fecha 09 de abril de 2010, Resolución Nº 1988-2010-TC-S4 de fecha 22 de octubre de 2010 y Resolución Nº 2191-2010-TC-S2 del 23 de noviembre de 2010.</w:t>
      </w:r>
    </w:p>
  </w:footnote>
  <w:footnote w:id="4">
    <w:p w:rsidR="005B6EBA" w:rsidRPr="00F42138" w:rsidRDefault="005B6EBA" w:rsidP="005B6EBA">
      <w:pPr>
        <w:pStyle w:val="Textonotapie"/>
        <w:rPr>
          <w:b/>
          <w:bCs/>
          <w:i/>
          <w:iCs/>
          <w:sz w:val="16"/>
          <w:szCs w:val="16"/>
          <w:lang w:eastAsia="en-US"/>
        </w:rPr>
      </w:pPr>
      <w:r w:rsidRPr="0040213E">
        <w:rPr>
          <w:rStyle w:val="Refdenotaalpie"/>
          <w:i/>
          <w:iCs/>
          <w:sz w:val="18"/>
          <w:szCs w:val="18"/>
          <w:lang w:eastAsia="en-US"/>
        </w:rPr>
        <w:footnoteRef/>
      </w:r>
      <w:r w:rsidRPr="0040213E">
        <w:rPr>
          <w:i/>
          <w:iCs/>
          <w:sz w:val="18"/>
          <w:szCs w:val="18"/>
          <w:lang w:eastAsia="en-US"/>
        </w:rPr>
        <w:t xml:space="preserve"> </w:t>
      </w:r>
      <w:r w:rsidRPr="00F42138">
        <w:rPr>
          <w:b/>
          <w:bCs/>
          <w:i/>
          <w:iCs/>
          <w:sz w:val="16"/>
          <w:szCs w:val="16"/>
          <w:lang w:eastAsia="en-US"/>
        </w:rPr>
        <w:t>Artículo 427.- Falsificación de documentos</w:t>
      </w:r>
    </w:p>
    <w:p w:rsidR="005B6EBA" w:rsidRDefault="005B6EBA" w:rsidP="005B6EBA">
      <w:pPr>
        <w:pStyle w:val="Textonotapie"/>
      </w:pPr>
      <w:r w:rsidRPr="00F42138">
        <w:rPr>
          <w:i/>
          <w:iCs/>
          <w:sz w:val="16"/>
          <w:szCs w:val="16"/>
          <w:lang w:eastAsia="en-US"/>
        </w:rPr>
        <w:t xml:space="preserve">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 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 </w:t>
      </w:r>
    </w:p>
  </w:footnote>
  <w:footnote w:id="5">
    <w:p w:rsidR="005B6EBA" w:rsidRPr="00F42138" w:rsidRDefault="005B6EBA" w:rsidP="005B6EBA">
      <w:pPr>
        <w:pStyle w:val="Textonotapie"/>
        <w:rPr>
          <w:i/>
          <w:iCs/>
          <w:sz w:val="16"/>
          <w:szCs w:val="16"/>
          <w:lang w:eastAsia="en-US"/>
        </w:rPr>
      </w:pPr>
      <w:r w:rsidRPr="00F42138">
        <w:rPr>
          <w:rStyle w:val="Refdenotaalpie"/>
          <w:i/>
          <w:iCs/>
          <w:sz w:val="16"/>
          <w:szCs w:val="16"/>
          <w:lang w:eastAsia="en-US"/>
        </w:rPr>
        <w:footnoteRef/>
      </w:r>
      <w:r w:rsidRPr="00F42138">
        <w:rPr>
          <w:i/>
          <w:iCs/>
          <w:sz w:val="16"/>
          <w:szCs w:val="16"/>
          <w:lang w:eastAsia="en-US"/>
        </w:rPr>
        <w:t xml:space="preserve"> </w:t>
      </w:r>
      <w:r w:rsidRPr="00F42138">
        <w:rPr>
          <w:b/>
          <w:bCs/>
          <w:i/>
          <w:iCs/>
          <w:sz w:val="16"/>
          <w:szCs w:val="16"/>
          <w:lang w:eastAsia="en-US"/>
        </w:rPr>
        <w:t>Artículo 438.- Falsedad genérica</w:t>
      </w:r>
      <w:r w:rsidRPr="00F42138">
        <w:rPr>
          <w:i/>
          <w:iCs/>
          <w:sz w:val="16"/>
          <w:szCs w:val="16"/>
          <w:lang w:eastAsia="en-US"/>
        </w:rPr>
        <w:t xml:space="preserve"> </w:t>
      </w:r>
    </w:p>
    <w:p w:rsidR="005B6EBA" w:rsidRDefault="005B6EBA" w:rsidP="005B6EBA">
      <w:pPr>
        <w:pStyle w:val="Textonotapie"/>
      </w:pPr>
      <w:r w:rsidRPr="00F42138">
        <w:rPr>
          <w:i/>
          <w:iCs/>
          <w:sz w:val="16"/>
          <w:szCs w:val="16"/>
          <w:lang w:eastAsia="en-US"/>
        </w:rPr>
        <w:tab/>
        <w:t>El que de cualquier otro modo que no esté especificado en los Capítulos precedentes, comete falsedad simulando, suponiendo, alterando la verdad intencionalmente y con perjuicio de terceros, por palabras, hechos o usurpando nombre, calidad o empleo que no le corresponde, suponiendo viva a una persona fallecida o que no ha existido o viceversa, será reprimido con pena privativa de libertad no menor de dos ni mayor de cuatro años.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7B4" w:rsidRDefault="000A57B4" w:rsidP="000A57B4">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0A57B4" w:rsidRDefault="000A57B4" w:rsidP="000A57B4">
    <w:pPr>
      <w:pStyle w:val="Encabezado"/>
      <w:rPr>
        <w:noProof/>
      </w:rPr>
    </w:pPr>
  </w:p>
  <w:p w:rsidR="000A57B4" w:rsidRDefault="000A57B4" w:rsidP="000A57B4">
    <w:pPr>
      <w:pStyle w:val="Encabezado"/>
      <w:rPr>
        <w:noProof/>
      </w:rPr>
    </w:pPr>
  </w:p>
  <w:p w:rsidR="000A57B4" w:rsidRDefault="000A57B4" w:rsidP="000A57B4">
    <w:pPr>
      <w:pStyle w:val="Encabezado"/>
      <w:rPr>
        <w:noProof/>
      </w:rPr>
    </w:pPr>
  </w:p>
  <w:p w:rsidR="000A57B4" w:rsidRDefault="000A57B4" w:rsidP="000A57B4">
    <w:pPr>
      <w:pStyle w:val="Encabezado"/>
      <w:jc w:val="center"/>
    </w:pPr>
    <w:r>
      <w:rPr>
        <w:rFonts w:ascii="Monotype Corsiva" w:hAnsi="Monotype Corsiva"/>
        <w:b/>
        <w:sz w:val="44"/>
        <w:szCs w:val="44"/>
      </w:rPr>
      <w:t xml:space="preserve">Resolución Nº   </w:t>
    </w:r>
    <w:r>
      <w:rPr>
        <w:rFonts w:ascii="Tahoma" w:hAnsi="Tahoma" w:cs="Tahoma"/>
        <w:b/>
        <w:sz w:val="44"/>
        <w:szCs w:val="44"/>
      </w:rPr>
      <w:t>224-2011-TC-S1</w:t>
    </w:r>
  </w:p>
  <w:p w:rsidR="000A57B4" w:rsidRDefault="000A57B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54C9E"/>
    <w:multiLevelType w:val="hybridMultilevel"/>
    <w:tmpl w:val="D7F680A0"/>
    <w:lvl w:ilvl="0" w:tplc="08A602CE">
      <w:start w:val="1"/>
      <w:numFmt w:val="decimal"/>
      <w:lvlText w:val="%1."/>
      <w:lvlJc w:val="left"/>
      <w:pPr>
        <w:tabs>
          <w:tab w:val="num" w:pos="360"/>
        </w:tabs>
        <w:ind w:left="360" w:hanging="360"/>
      </w:pPr>
      <w:rPr>
        <w:rFonts w:ascii="Tahoma" w:hAnsi="Tahoma" w:cs="Tahoma" w:hint="default"/>
        <w:b/>
        <w:bCs/>
        <w:i w:val="0"/>
        <w:iCs w:val="0"/>
        <w:sz w:val="20"/>
        <w:szCs w:val="20"/>
      </w:rPr>
    </w:lvl>
    <w:lvl w:ilvl="1" w:tplc="0C0A0019">
      <w:start w:val="1"/>
      <w:numFmt w:val="lowerLetter"/>
      <w:lvlText w:val="%2."/>
      <w:lvlJc w:val="left"/>
      <w:pPr>
        <w:tabs>
          <w:tab w:val="num" w:pos="360"/>
        </w:tabs>
        <w:ind w:left="360" w:hanging="360"/>
      </w:pPr>
    </w:lvl>
    <w:lvl w:ilvl="2" w:tplc="0C0A001B">
      <w:start w:val="1"/>
      <w:numFmt w:val="lowerRoman"/>
      <w:lvlText w:val="%3."/>
      <w:lvlJc w:val="right"/>
      <w:pPr>
        <w:tabs>
          <w:tab w:val="num" w:pos="1080"/>
        </w:tabs>
        <w:ind w:left="1080" w:hanging="180"/>
      </w:pPr>
    </w:lvl>
    <w:lvl w:ilvl="3" w:tplc="0C0A000F">
      <w:start w:val="1"/>
      <w:numFmt w:val="decimal"/>
      <w:lvlText w:val="%4."/>
      <w:lvlJc w:val="left"/>
      <w:pPr>
        <w:tabs>
          <w:tab w:val="num" w:pos="1800"/>
        </w:tabs>
        <w:ind w:left="1800" w:hanging="360"/>
      </w:pPr>
    </w:lvl>
    <w:lvl w:ilvl="4" w:tplc="0C0A0019">
      <w:start w:val="1"/>
      <w:numFmt w:val="lowerLetter"/>
      <w:lvlText w:val="%5."/>
      <w:lvlJc w:val="left"/>
      <w:pPr>
        <w:tabs>
          <w:tab w:val="num" w:pos="2520"/>
        </w:tabs>
        <w:ind w:left="2520" w:hanging="360"/>
      </w:pPr>
    </w:lvl>
    <w:lvl w:ilvl="5" w:tplc="0C0A001B">
      <w:start w:val="1"/>
      <w:numFmt w:val="lowerRoman"/>
      <w:lvlText w:val="%6."/>
      <w:lvlJc w:val="right"/>
      <w:pPr>
        <w:tabs>
          <w:tab w:val="num" w:pos="3240"/>
        </w:tabs>
        <w:ind w:left="3240" w:hanging="180"/>
      </w:pPr>
    </w:lvl>
    <w:lvl w:ilvl="6" w:tplc="0C0A000F">
      <w:start w:val="1"/>
      <w:numFmt w:val="decimal"/>
      <w:lvlText w:val="%7."/>
      <w:lvlJc w:val="left"/>
      <w:pPr>
        <w:tabs>
          <w:tab w:val="num" w:pos="3960"/>
        </w:tabs>
        <w:ind w:left="3960" w:hanging="360"/>
      </w:pPr>
    </w:lvl>
    <w:lvl w:ilvl="7" w:tplc="0C0A0019">
      <w:start w:val="1"/>
      <w:numFmt w:val="lowerLetter"/>
      <w:lvlText w:val="%8."/>
      <w:lvlJc w:val="left"/>
      <w:pPr>
        <w:tabs>
          <w:tab w:val="num" w:pos="4680"/>
        </w:tabs>
        <w:ind w:left="4680" w:hanging="360"/>
      </w:pPr>
    </w:lvl>
    <w:lvl w:ilvl="8" w:tplc="0C0A001B">
      <w:start w:val="1"/>
      <w:numFmt w:val="lowerRoman"/>
      <w:lvlText w:val="%9."/>
      <w:lvlJc w:val="right"/>
      <w:pPr>
        <w:tabs>
          <w:tab w:val="num" w:pos="5400"/>
        </w:tabs>
        <w:ind w:left="5400" w:hanging="180"/>
      </w:pPr>
    </w:lvl>
  </w:abstractNum>
  <w:abstractNum w:abstractNumId="1">
    <w:nsid w:val="2327350B"/>
    <w:multiLevelType w:val="hybridMultilevel"/>
    <w:tmpl w:val="30EAF060"/>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
    <w:nsid w:val="23273901"/>
    <w:multiLevelType w:val="hybridMultilevel"/>
    <w:tmpl w:val="47E47C40"/>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2A604CF2"/>
    <w:multiLevelType w:val="hybridMultilevel"/>
    <w:tmpl w:val="505C682E"/>
    <w:lvl w:ilvl="0" w:tplc="36582308">
      <w:start w:val="1"/>
      <w:numFmt w:val="decimal"/>
      <w:lvlText w:val="%1)"/>
      <w:lvlJc w:val="left"/>
      <w:pPr>
        <w:tabs>
          <w:tab w:val="num" w:pos="360"/>
        </w:tabs>
        <w:ind w:left="36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
    <w:nsid w:val="5834191B"/>
    <w:multiLevelType w:val="hybridMultilevel"/>
    <w:tmpl w:val="B10A513C"/>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5B3E1F50"/>
    <w:multiLevelType w:val="hybridMultilevel"/>
    <w:tmpl w:val="D00A945A"/>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60AB42CA"/>
    <w:multiLevelType w:val="hybridMultilevel"/>
    <w:tmpl w:val="EAFC767E"/>
    <w:lvl w:ilvl="0" w:tplc="8EA03CE0">
      <w:start w:val="1"/>
      <w:numFmt w:val="decimal"/>
      <w:lvlText w:val="%1."/>
      <w:lvlJc w:val="right"/>
      <w:pPr>
        <w:ind w:left="720" w:hanging="360"/>
      </w:pPr>
      <w:rPr>
        <w:rFonts w:ascii="Tahoma" w:hAnsi="Tahoma" w:cs="Tahoma" w:hint="default"/>
        <w:b/>
        <w:bCs/>
        <w:i w:val="0"/>
        <w:iCs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7D18618B"/>
    <w:multiLevelType w:val="hybridMultilevel"/>
    <w:tmpl w:val="D2C2D5E2"/>
    <w:lvl w:ilvl="0" w:tplc="0C0A001B">
      <w:start w:val="1"/>
      <w:numFmt w:val="lowerRoman"/>
      <w:lvlText w:val="%1."/>
      <w:lvlJc w:val="righ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3"/>
  </w:num>
  <w:num w:numId="5">
    <w:abstractNumId w:val="0"/>
  </w:num>
  <w:num w:numId="6">
    <w:abstractNumId w:val="1"/>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5B6EBA"/>
    <w:rsid w:val="000A57B4"/>
    <w:rsid w:val="001D27A6"/>
    <w:rsid w:val="003170B8"/>
    <w:rsid w:val="005B6EBA"/>
    <w:rsid w:val="0066645E"/>
    <w:rsid w:val="00801237"/>
    <w:rsid w:val="008E002C"/>
    <w:rsid w:val="0096071E"/>
    <w:rsid w:val="00B3727F"/>
    <w:rsid w:val="00ED27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EBA"/>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5B6EBA"/>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5B6EBA"/>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5B6EBA"/>
  </w:style>
  <w:style w:type="paragraph" w:styleId="Textoindependiente">
    <w:name w:val="Body Text"/>
    <w:basedOn w:val="Normal"/>
    <w:link w:val="TextoindependienteCar"/>
    <w:rsid w:val="005B6EBA"/>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5B6EBA"/>
    <w:rPr>
      <w:rFonts w:ascii="Tahoma" w:eastAsia="Times New Roman" w:hAnsi="Tahoma" w:cs="Times New Roman"/>
      <w:szCs w:val="20"/>
      <w:lang w:val="es-ES_tradnl" w:eastAsia="es-ES"/>
    </w:rPr>
  </w:style>
  <w:style w:type="paragraph" w:customStyle="1" w:styleId="Textoindependiente21">
    <w:name w:val="Texto independiente 21"/>
    <w:basedOn w:val="Normal"/>
    <w:rsid w:val="005B6EBA"/>
    <w:pPr>
      <w:jc w:val="both"/>
    </w:pPr>
    <w:rPr>
      <w:rFonts w:ascii="Tahoma" w:hAnsi="Tahoma"/>
      <w:sz w:val="22"/>
    </w:rPr>
  </w:style>
  <w:style w:type="paragraph" w:styleId="Textoindependiente3">
    <w:name w:val="Body Text 3"/>
    <w:basedOn w:val="Normal"/>
    <w:link w:val="Textoindependiente3Car"/>
    <w:rsid w:val="005B6EBA"/>
    <w:pPr>
      <w:spacing w:after="120"/>
    </w:pPr>
    <w:rPr>
      <w:sz w:val="16"/>
      <w:szCs w:val="16"/>
      <w:lang w:val="es-PE"/>
    </w:rPr>
  </w:style>
  <w:style w:type="character" w:customStyle="1" w:styleId="Textoindependiente3Car">
    <w:name w:val="Texto independiente 3 Car"/>
    <w:basedOn w:val="Fuentedeprrafopredeter"/>
    <w:link w:val="Textoindependiente3"/>
    <w:rsid w:val="005B6EBA"/>
    <w:rPr>
      <w:rFonts w:ascii="Times New Roman" w:eastAsia="Times New Roman" w:hAnsi="Times New Roman" w:cs="Times New Roman"/>
      <w:sz w:val="16"/>
      <w:szCs w:val="16"/>
      <w:lang w:val="es-PE" w:eastAsia="es-ES"/>
    </w:rPr>
  </w:style>
  <w:style w:type="paragraph" w:styleId="Textonotapie">
    <w:name w:val="footnote text"/>
    <w:aliases w:val="Car,Car Car,Texto nota pie1,Car4,Texto independiente1,Car1,Car41,Texto independiente11,Texto independiente2,Car2 Car Car Car Car Car,Car2 Car,Car2"/>
    <w:basedOn w:val="Normal"/>
    <w:link w:val="TextonotapieCar"/>
    <w:uiPriority w:val="99"/>
    <w:semiHidden/>
    <w:rsid w:val="005B6EBA"/>
  </w:style>
  <w:style w:type="character" w:customStyle="1" w:styleId="TextonotapieCar">
    <w:name w:val="Texto nota pie Car"/>
    <w:aliases w:val="Car Car1,Car Car Car,Texto nota pie1 Car,Car4 Car,Texto independiente1 Car,Car1 Car,Car41 Car,Texto independiente11 Car,Texto independiente2 Car,Car2 Car Car Car Car Car Car,Car2 Car Car,Car2 Car1"/>
    <w:basedOn w:val="Fuentedeprrafopredeter"/>
    <w:link w:val="Textonotapie"/>
    <w:uiPriority w:val="99"/>
    <w:rsid w:val="005B6EBA"/>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rsid w:val="005B6EBA"/>
    <w:rPr>
      <w:vertAlign w:val="superscript"/>
    </w:rPr>
  </w:style>
  <w:style w:type="paragraph" w:styleId="Prrafodelista">
    <w:name w:val="List Paragraph"/>
    <w:basedOn w:val="Normal"/>
    <w:uiPriority w:val="99"/>
    <w:qFormat/>
    <w:rsid w:val="005B6EBA"/>
    <w:pPr>
      <w:widowControl w:val="0"/>
      <w:suppressAutoHyphens/>
      <w:ind w:left="708"/>
    </w:pPr>
    <w:rPr>
      <w:rFonts w:ascii="Tahoma" w:hAnsi="Tahoma" w:cs="Tahoma"/>
      <w:sz w:val="24"/>
      <w:szCs w:val="24"/>
      <w:lang w:val="es-ES_tradnl"/>
    </w:rPr>
  </w:style>
  <w:style w:type="paragraph" w:styleId="Encabezado">
    <w:name w:val="header"/>
    <w:aliases w:val="maria,h"/>
    <w:basedOn w:val="Normal"/>
    <w:link w:val="EncabezadoCar"/>
    <w:uiPriority w:val="99"/>
    <w:semiHidden/>
    <w:unhideWhenUsed/>
    <w:rsid w:val="000A57B4"/>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0A57B4"/>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divs>
    <w:div w:id="6750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2029</Words>
  <Characters>11161</Characters>
  <Application>Microsoft Office Word</Application>
  <DocSecurity>0</DocSecurity>
  <Lines>93</Lines>
  <Paragraphs>26</Paragraphs>
  <ScaleCrop>false</ScaleCrop>
  <Company/>
  <LinksUpToDate>false</LinksUpToDate>
  <CharactersWithSpaces>13164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5</cp:revision>
  <cp:lastPrinted>2011-02-10T22:23:00Z</cp:lastPrinted>
  <dcterms:created xsi:type="dcterms:W3CDTF">2011-02-10T22:13:00Z</dcterms:created>
  <dcterms:modified xsi:type="dcterms:W3CDTF">2011-03-07T16:35:00Z</dcterms:modified>
</cp:coreProperties>
</file>